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900 vom 27. November 2015</w:t>
      </w:r>
    </w:p>
    <w:p>
      <w:r>
        <w:t>VD Tribunal cantonal, 2015-11-27, FR</w:t>
      </w:r>
    </w:p>
    <w:p>
      <w:r>
        <w:rPr>
          <w:b/>
        </w:rPr>
        <w:t xml:space="preserve">Quelle: </w:t>
      </w:r>
      <w:r>
        <w:t>https://mcp.opencaselaw.ch/entscheid/vd_findinfo_D_cision___2015___900</w:t>
      </w:r>
    </w:p>
    <w:p>
      <w:r>
        <w:t>FR: VD_FINDINFO Décision / 2015 / 900 du 27 novembre 2015</w:t>
      </w:r>
    </w:p>
    <w:p>
      <w:r>
        <w:t>IT: VD_FINDINFO Décision / 2015 / 900 del 27 novembre 2015</w:t>
      </w:r>
    </w:p>
    <w:p>
      <w:pPr>
        <w:pStyle w:val="Heading2"/>
      </w:pPr>
      <w:r>
        <w:t>Regeste</w:t>
      </w:r>
    </w:p>
    <w:p>
      <w:r>
        <w:t>NON-LIEU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 RSV 312.01] ; art. 80 LOJV [Loi d’organisation judiciaire, RSV 173.01]).</w:t>
      </w:r>
    </w:p>
    <w:p>
      <w:r>
        <w:rPr>
          <w:b/>
        </w:rPr>
        <w:t>E. 1.2</w:t>
      </w:r>
    </w:p>
    <w:p>
      <w:r>
        <w:t>Interjeté dans le délai légal auprès de l’autorité compétente par la plaignante qui a qualité pour recourir (art. 382 al. 1 CPP), le recours est recevable.</w:t>
      </w:r>
    </w:p>
    <w:p>
      <w:r>
        <w:rPr>
          <w:b/>
        </w:rPr>
        <w:t>E. 2.1</w:t>
      </w:r>
    </w:p>
    <w:p>
      <w:r>
        <w:t>Le recourant soutient que le Ministère public aurait violé l’art. 310 CPP en rendant une ordonnance de non-entrée en matière et qu’il aurait constaté de manière incomplète les faits qui avaient été exposés dans la plainte. Il considère, au regard du comportement d’I.________ au moment des faits, avoir été victime de l’infraction de contrainte, à tout le moins au stade de la tentative, et reproche à la Procureure de ne pas avoir pris en compte cette infraction, qui se poursuit d’office, lorsqu’elle a rendu son ordonnance de non-entrée en matière.</w:t>
      </w:r>
    </w:p>
    <w:p>
      <w:r>
        <w:rPr>
          <w:b/>
        </w:rPr>
        <w:t>E. 2.2</w:t>
      </w:r>
    </w:p>
    <w:p>
      <w:r>
        <w:t>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JdT 2012 IV 160 consid. 2.3 et les références citées).</w:t>
      </w:r>
    </w:p>
    <w:p>
      <w:r>
        <w:rPr>
          <w:b/>
        </w:rPr>
        <w:t>E. 2.3</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La violence consiste dans l'emploi d'une force physique d'une certaine intensité à l'encontre de la victime, propre à l’entraver dans sa liberté d’action. Elle doit revêtir une certaine gravité ; une petite bousculade ne suffit pas (ATF 101 IV 42 consid. 3a, JdT 1976 IV 108 ; Dupuis et alii (éd.), Petit commentaire du Code pénal, 2012, n. 10 ad art. 181 CP et les références citées).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la;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ATF 134 IV 216 consid. 4.2 ; ATF 119 IV 301 consid. 2a). Sur le plan subjectif, il faut que l'auteur ait agi intentionnellement, c'est-à-dire qu'il ait voulu contraindre la victime à adopter le comportement visé en étant conscient de l'illicéité de son comportement ; le dol éventuel suffit (ATF 120 IV 17 consid. 2c). Lorsque la victime ne se laisse pas intimider et n'adopte pas le comportement voulu par l'auteur, ce dernier est punissable de tentative de contrainte (ATF 129 IV 262 ; ATF 106 IV 125 consid. 2b).</w:t>
      </w:r>
    </w:p>
    <w:p>
      <w:r>
        <w:rPr>
          <w:b/>
        </w:rPr>
        <w:t>E. 2.4</w:t>
      </w:r>
    </w:p>
    <w:p>
      <w:r>
        <w:t>En l’espèce, il y a premièrement lieu de rappeler au plaignant que s’il ne lui incombe pas de qualifier juridiquement les faits qu’il expose – cela incombe aux autorités de poursuites pénales –, il n’en demeure pas moins que ceux-ci doivent être décrits de manière suffisante (cf. en ce sens Dupuis et alii (éd.), op. cit., n. 4 ad art. 30 CP et les références citées). Lors de l’incident du 11 mars 2015, si l’on se réfère à ce qu’a allégué le recourant dans sa plainte, I.________ se serait placé devant lui en adoptant une position de combat à son arrivée à l’endroit concerné. Il l’aurait ensuite menacé verbalement au moyen d’insultes, puis l’aurait poussé à plusieurs reprises dans le but le faire tomber, l’empêchant ainsi de rejoindre l’appartement de D.________. Bien que Z.________ déclare avoir été empêché de sortir de la place de parc du côté conducteur de son véhicule, il apparaît, selon la photographie produite (P. 8/2/3), que la configuration des lieux est suffisamment espacée – les faits se sont déroulés en plein air – pour lui permettre de se dégager de la situation dans laquelle il se trouvait. En outre, si l’accès lui était bloqué, il aurait facilement pu reprendre place dans son véhicule afin de repartir avec celui-ci, ou encore en sortir de l’autre côté. Compte tenu de la jurisprudence restrictive, on ne peut considérer que le recourant ait en l’espèce été entravé dans sa liberté de manière substantielle. Il convient également de relever qu’I.________ ne semble pas avoir usé de violence avec une gravité suffisante, dès lors qu’il aurait simplement poussé le recourant, sans que l’on sache d’ailleurs réellement si cela l’a fait chuter au sol. De plus, au regard de l’énoncé des faits figurant dans la plainte, on est également en droit de douter du fait que la position menaçante et le comportement oppositionnel soi-disant adoptés par I.________ aient exercé une pression psychologique faisant craindre au recourant la réalisation d’un dommage sérieux en raison d’une éventuelle bagarre. En effet, à en croire ces déclarations, ce dernier, après avoir rejoint sa compagne, serait à nouveau venu à la rencontre du prénommé, avec lequel il y aurait eu une nouvelle altercation et, par la suite, des paroles déplacées des deux côtés. Au vu de ce qui précède, le comportement adopté par I.________ n’est pas constitutif de l’infraction de contrainte, les conditions objectives n’étant pas réalisées. La tentative est dès lors exclue.</w:t>
      </w:r>
    </w:p>
    <w:p>
      <w:r>
        <w:rPr>
          <w:b/>
        </w:rPr>
        <w:t>E. 3</w:t>
      </w:r>
    </w:p>
    <w:p>
      <w:r>
        <w:t>En définitive, le recours, manifestement mal fondé, doit être rejeté sans autres échanges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 RSV 312.03.1]), seront mis à la charge de Z.________, qui succombe (art. 428 al. 1 CPP). Par ces motifs, la Chambre des recours pénale prononce : I. Le recours est rejeté. II. L’ordonnance du 23 octobre 2015 est confirmée. III. Les frais d’arrêt, par 660 fr. (six cent soixante francs), sont mis à la charge de Z.________. IV. Le présent arrêt est exécutoire. Le président :               Le greffier : Du Le présent arrêt, dont la rédaction a été approuvée à huis clos, est notifié, par l'envoi d'une copie complète, à : - Me Julien Lanfranconi, avocat (pour Z.________), - Ministère public central, et communiqué à : - Mme la Procureure de l’arrondissement de Lausanne, - Me Patricia Spack Isenrich, avocate (pour I.________),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