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894 vom 1. Dezember 2015</w:t>
      </w:r>
    </w:p>
    <w:p>
      <w:r>
        <w:t>VD Tribunal cantonal, 2015-12-01, FR</w:t>
      </w:r>
    </w:p>
    <w:p>
      <w:r>
        <w:rPr>
          <w:b/>
        </w:rPr>
        <w:t xml:space="preserve">Quelle: </w:t>
      </w:r>
      <w:r>
        <w:t>https://mcp.opencaselaw.ch/entscheid/vd_findinfo_D_cision___2015___894</w:t>
      </w:r>
    </w:p>
    <w:p>
      <w:r>
        <w:t>FR: VD_FINDINFO Décision / 2015 / 894 du 1 décembre 2015</w:t>
      </w:r>
    </w:p>
    <w:p>
      <w:r>
        <w:t>IT: VD_FINDINFO Décision / 2015 / 894 del 1 dicembre 2015</w:t>
      </w:r>
    </w:p>
    <w:p>
      <w:pPr>
        <w:pStyle w:val="Heading2"/>
      </w:pPr>
      <w:r>
        <w:t>Regeste</w:t>
      </w:r>
    </w:p>
    <w:p>
      <w:r>
        <w:t>LOGEMENT, BAILLEUR{BAIL À LOYER}, EXPERTISE SUR PIÈCES, LOCATAIRE, ESCROQUERIE, FAUX INTELLECTUEL DANS LES TITRES, FAUX MATÉRIEL DANS LES TITRES, PROCÉDURE PRÉPARATOIRE, DOUTE | 146 CP, 251 CP, 10 CPP (CH), 319 CPP (CH), 393 CPP (CH), 397 al. 3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(art. 382 al. 1 et art. 396 al. 1 CPP), le recours est recevable.</w:t>
      </w:r>
    </w:p>
    <w:p>
      <w:r>
        <w:rPr>
          <w:b/>
        </w:rPr>
        <w:t>E. 2.1</w:t>
      </w:r>
    </w:p>
    <w:p>
      <w:r>
        <w:t>Le recourant reproche en substance au Procureur d'avoir outrepassé sa liberté d'appréciation et d'avoir violé le principe in dubio pro duriore .</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 2.1; CREP 11 avril 2014/280 c. 2a et les références citées).</w:t>
      </w:r>
    </w:p>
    <w:p>
      <w:r>
        <w:rPr>
          <w:b/>
        </w:rPr>
        <w:t>E. 2.3</w:t>
      </w:r>
    </w:p>
    <w:p>
      <w:r>
        <w:t>Dans le cas d'espèce, Il est vrai que l'examen technique réalisé par le service de l'Identité judiciaire n'a pas permis de confirmer ou d'infirmer l'hypothèse d'une modification du montant indiqué dans le document litigieux (P. 21). Ce service s'est toutefois limité à un examen physique du document litigieux afin de détecter d'éventuelles traces de manipulations. Aucune comparaison avec les autres échantillons d'écriture, figurant au dossier sous pièces 4/4 et 4/5 ou encore 10/3, 10/4 et 10/6 – et mis à disposition des experts (P. 17) –, n'a en revanche été effectuée. Or, certains de ces échantillons présentent des différences de tracé assez troublantes. En effet, comme soulevé par le recourant, dans le document litigieux versé sous pièce 4/1 – l'original figurant sous pièce 7/1 –, les deux traits sommitaux du chiffre 4 se touchent et sa boucle ne dépasse pas la barre verticale, mais la rejoint pour la suivre jusqu'à son pied. Dans les documents figurant sous pièces 4/4 et 4/5, les traits sommitaux ne se rejoignent jamais; la barre horizontale du retour de la boucle dépasse la barre verticale ou s'arrête exactement sur celle-ci, mais elle ne redescend jamais pour doubler la barre verticale dans sa partie inférieure comme sur la pièce 4/1. Au vu de ces éléments, il se justifie de mettre en œuvre une expertise en écriture. En fonction du résultat de cette nouvelle expertise technique, le Procureur décidera s'il y a lieu de renvoyer le prévenu devant un tribunal. En l'état, force est de constater que l'enquête menée par le Procureur apparaît incomplète et que le classement de la procédure est, à ce stade, prématuré.</w:t>
      </w:r>
    </w:p>
    <w:p>
      <w:r>
        <w:rPr>
          <w:b/>
        </w:rPr>
        <w:t>E. 3</w:t>
      </w:r>
    </w:p>
    <w:p>
      <w:r>
        <w:t>En définitive, le recours doit être admis et l’ordonnance de classement rendue en faveur de W.________ le 11 août 2015 annulée, le dossier de la cause étant renvoyé au Ministère public de l’arrondissement du Nord vaudois pour qu’il procède dans le sens des considérants. Les frais de la procédure de recours, constitués en l'espèce de l'émolument d'arrêt, par 880 fr. (art. 20 al. 1 TFIP [Tarif des frais de procédure et indemnités en matière pénale du 28 septembre 2010; RSV 312.03.1]), seront mis à la charge de W.________,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II. L'ordonnance du 11 août 2015 admettant le classement de la procédure pénale dirigée contre W.________ pour escroquerie et faux dans les titres est annulée. III. Le dossier de la cause est renvoyé au Ministère public de l'arrondissement du Nord vaudois pour qu'il procède dans le sens des considérants. IV. Les frais d'arrêt, par 880 fr. (huit cent huitante francs), sont mis à la charge de W.________. V. Le présent arrêt est exécutoire. Le président :               La greffière : Du Le présent arrêt, dont la rédaction a été approuvée à huis clos, est notifié, par l'envoi d'une copie complète, à : - Me Marcel Paris, avocat (pour K.________), - Me Gloria Capt, avocate (pour W.________),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