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887 vom 27. November 2015</w:t>
      </w:r>
    </w:p>
    <w:p>
      <w:r>
        <w:t>VD Tribunal cantonal, 2015-11-27, FR</w:t>
      </w:r>
    </w:p>
    <w:p>
      <w:r>
        <w:rPr>
          <w:b/>
        </w:rPr>
        <w:t xml:space="preserve">Quelle: </w:t>
      </w:r>
      <w:r>
        <w:t>https://mcp.opencaselaw.ch/entscheid/vd_findinfo_D_cision___2015___887</w:t>
      </w:r>
    </w:p>
    <w:p>
      <w:r>
        <w:t>FR: VD_FINDINFO Décision / 2015 / 887 du 27 novembre 2015</w:t>
      </w:r>
    </w:p>
    <w:p>
      <w:r>
        <w:t>IT: VD_FINDINFO Décision / 2015 / 887 del 27 novembre 2015</w:t>
      </w:r>
    </w:p>
    <w:p>
      <w:pPr>
        <w:pStyle w:val="Heading2"/>
      </w:pPr>
      <w:r>
        <w:t>Regeste</w:t>
      </w:r>
    </w:p>
    <w:p>
      <w:r>
        <w:t>DÉCISION D'IRRECEVABILITÉ, REJET DE LA DEMANDE | 310 CPP (CH)</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w:t>
      </w:r>
    </w:p>
    <w:p>
      <w:r>
        <w:rPr>
          <w:b/>
        </w:rPr>
        <w:t>E. 2.2</w:t>
      </w:r>
    </w:p>
    <w:p>
      <w:r>
        <w:t>En l’occurrence, à l’instar du Ministère public, la Cour de céans ne discerne aucune infraction pénale dans les faits, peu clairs, rapportés par le recourant, tant dans sa plainte pénale du 8 octobre 2015 que dans son recours du 20 novembre 2015. Par ailleurs, ces faits semblent tout au plus liés à un litige civil. Partant, c’est à juste titre que le Procureur général a refusé d’entrer en matière.</w:t>
      </w:r>
    </w:p>
    <w:p>
      <w:r>
        <w:rPr>
          <w:b/>
        </w:rPr>
        <w:t>E. 3</w:t>
      </w:r>
    </w:p>
    <w:p>
      <w:r>
        <w:t>En définitive, le recours, au surplus prolixe et relevant de la quérulence, doit être rejeté sans autre échange d’écritures (art. 390 al. 2 CPP) et l’ordonnance attaquée confirmée. Les frais de la procédure de recours, constitués en l’espèce du seul émolument d'arrêt, par 330 fr. (art. 20 al. 1 TFJP [tarif des frais judiciaires pénaux; RSV 312.03.1]), seront mis à la charge du recourant, qui succombe (art. 428 al. 1 CPP). Par ces motifs, la Chambre des recours pénale prononce : I. Le recours est rejeté. II. L’ordonnance du 6 novembre 2015 est confirmée. III. Les frais de la procédure de recours, par 330 fr. (trois cent trente francs), sont mis à la charge de B.________. IV. Le présent arrêt est exécutoire. Le président : La greffière : Du Le présent arrêt, dont la rédaction a été approuvée à huis clos, est notifié, par l'envoi d'une copie complète, à : - M. B.________,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