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884 vom 2. Dezember 2015</w:t>
      </w:r>
    </w:p>
    <w:p>
      <w:r>
        <w:t>VD Tribunal cantonal, 2015-12-02, FR</w:t>
      </w:r>
    </w:p>
    <w:p>
      <w:r>
        <w:rPr>
          <w:b/>
        </w:rPr>
        <w:t xml:space="preserve">Quelle: </w:t>
      </w:r>
      <w:r>
        <w:t>https://mcp.opencaselaw.ch/entscheid/vd_findinfo_D_cision___2015___884</w:t>
      </w:r>
    </w:p>
    <w:p>
      <w:r>
        <w:t>FR: VD_FINDINFO Décision / 2015 / 884 du 2 décembre 2015</w:t>
      </w:r>
    </w:p>
    <w:p>
      <w:r>
        <w:t>IT: VD_FINDINFO Décision / 2015 / 884 del 2 dicembre 2015</w:t>
      </w:r>
    </w:p>
    <w:p>
      <w:pPr>
        <w:pStyle w:val="Heading2"/>
      </w:pPr>
      <w:r>
        <w:t>Regeste</w:t>
      </w:r>
    </w:p>
    <w:p>
      <w:r>
        <w:t>RISQUE DE RÉCIDIVE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Ministère public peut également recourir à l’encontre de ces décisions (ATF 137 IV 22 c. 1.2 à 1.4).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du Ministère public, qui a été interjeté en temps utile devant l’autorité compétente et qui satisfait aux conditions de forme posées par l’art. 385 al. 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w:t>
      </w:r>
    </w:p>
    <w:p>
      <w:r>
        <w:rPr>
          <w:b/>
        </w:rPr>
        <w:t>E. 2.2</w:t>
      </w:r>
    </w:p>
    <w:p>
      <w:r>
        <w:t>En l’espèce, la prévenue a admis les faits pour l’essentiel, même si elle ne s’en souvient pas toujours de manière précise. Elle a expliqué qu’elle supposait son compagnon infidèle et pensait qu’il était le diable (PV d’audition du 15 octobre 2015, p. 2). Elle a ajouté que Y.________ la « cherchait » et que L.________ la regardait mal ; elle se sentait alors persécutée (ibid., p. 4). Au vu de ces déclarations, il existe contre la recourante des présomptions de culpabilité suffisantes, ce qui n’est pas remis en cause.</w:t>
      </w:r>
    </w:p>
    <w:p>
      <w:r>
        <w:rPr>
          <w:b/>
        </w:rPr>
        <w:t>E. 3.1</w:t>
      </w:r>
    </w:p>
    <w:p>
      <w:r>
        <w:t>L’expert psychiatre, dans son rapport du 29 octobre 2015, a jugé important le risque de récidive d’actes hétéro-agressifs lors d’épisodes florides du trouble schizo-affectif dont souffre la prévenue, ce risque étant beaucoup plus faible si son état psychique est compensé (P. 50, p. 18). Au vu de ces conclusions ainsi que de la répétition d’actes de violence en l’espace de quelques mois seulement, déterminés, à dire d’expert, par une décompensation sur un mode psychotique (cf. P. 50, p. 14), le risque de réitération apparaît bien réel, ce qui n’est pas contesté.</w:t>
      </w:r>
    </w:p>
    <w:p>
      <w:r>
        <w:rPr>
          <w:b/>
        </w:rPr>
        <w:t>E. 3.2</w:t>
      </w:r>
    </w:p>
    <w:p>
      <w:r>
        <w:t>Le Ministère public conteste l’adéquation des mesures de substitution ordonnées par le Tribunal des mesures de contrainte pour prévenir le risque de réitération. Conformément au principe de la proportionnalité (cf. art. 36 al. 3 Cst. [Constitution fédérale de la Confédération suisse du 18 avril 1999 ; RS 101] ; pour la procédure pénale, cf. art. 197 al. 1 let. c CPP), il convient d'examiner les possibilités de mettre en oeuvre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Bâle 2013, n. 12 ad art. 237 CPP) – sont un succédané à la détention provisoire, le tribunal doit les prononcer à la place de la détention provisoire ou pour des motifs de sûreté si elles permettent d'empêcher la concrétisation du risque (Schmocker, in : Kuhn/Jeanneret [éd.], Commentaire romand, Code de procédure pénale suisse, Bâle 2011,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w:t>
      </w:r>
    </w:p>
    <w:p>
      <w:r>
        <w:rPr>
          <w:b/>
        </w:rPr>
        <w:t>E. 3.3</w:t>
      </w:r>
    </w:p>
    <w:p>
      <w:r>
        <w:t>En l’espèce, l’expert psychiatre juge approprié, pour prévenir de nouvelles décompensations psychotiques susceptibles d’entraîner des actes de violence, d’ordonner un traitement ambulatoire comprenant la poursuite de la médication neuroleptique sous forme de dépôt et la reprise des entretiens thérapeutiques. Il estime que ce suivi peut être repris auprès de l’association Appartenances où la prévenue pourrait bénéficier d’entretiens individuels réguliers avec la psychologue qui la prenait en charge avant son arrestation, ainsi qu’avec le médecin psychiatre de l’association qui pourrait également faire des prescriptions médicamenteuses du neuroleptique qu’elle recevait sous forme de dépôt depuis le mois de juin 2015 (P. 50, p. 19). La prévenue a fait plusieurs séjours en milieu psychiatrique depuis 2008, dont deux durant la période où ont été commis les actes qui lui sont reprochés. L’expertise psychiatrique rapporte qu’elle a eu des comportements violents contre le personnel soignant lors d’hospitalisations en 2008 et 2009 et qu’elle s’est livrée à des agressions verbales en 2012 contre des passants (P. 50, pp. 13-14). Malgré une prise en charge, notamment médicamenteuse depuis le mois de juin 2015, il lui est reproché d’avoir commis un nouvel acte grave au mois de juillet 2015. Certes, il ressort du rapport d’expertise que, d’une manière générale, les taux plasmatiques du traitement neuroleptique prescrit montent lentement et progressivement au fil des injections, étant précisé qu’ils mettent quatre à six mois pour atteindre l’équilibre. Toutefois, selon le responsable de l’Unité de psycho-pharmacologie du Département de psychiatrie du CHUV, si l’intéressée continue de présenter des symptômes de son trouble malgré la prescription, la raison est qu’elle peut ne pas répondre correctement au médicament ou que les taux plasmatiques dans le sang ne sont pas encore suffisants pour offrir une efficacité optimale (P. 50, p. 12). Il importe de se montrer d’autant plus exigeant sur l’aptitude de la mesure de substitution à prévenir le risque de réitération que celui-ci porte sur des actes potentiellement très graves. Or il n’est pas certain en l’espèce que les taux plasmatiques du traitement neuroleptique aient effectivement atteint leur équilibre. Le fait que l’expert n’ait pas constaté, lors des entretiens avec la prévenue, de symptômes florides de la lignée psychotique ou maniaque (P. 50, pp. 12 et 15) ne permet pas de répondre à cette question de manière satisfaisante ni d’affirmer que l’intéressée répond de manière appropriée au neuroleptique prescrit. En outre, il existe, selon l’expert, un doute sur la capacité de la prévenue à se conformer à un traitement psycho-pharmacologique, l’intéressée ayant cessé de son propre chef la médication neuroleptique lorsqu’elle a souhaité être enceinte (P. 50, p. 15). L’expert signale la possibilité que la prévenue décide à l’avenir de ne plus se soumettre au traitement, si elle n’en voyait plus la pertinence (P. 50, p. 20). Si cette volonté d’adhérer au projet thérapeutique est actuellement conservée, alors que la prévenue bénéficie d’un encadrement, on peut se demander s’il en ira de même en cas de libération. A cet égard, l’encadrement qui accompagne le traitement ambulatoire ordonné par le Tribunal des mesures de contrainte paraît peu précis. L’ordonnance attaquée, en effet, ne comporte pas l’injonction pour la prévenue de vivre auprès de sa mère. Par ailleurs, comme on ignore le futur lieu de séjour de la prévenue, il n’est pas sûr que celle-ci puisse bénéficier des prestations, dont la nature n’est du reste pas connue, auxquelles le CMS du Nord vaudois fait allusion dans son courriel du 18 novembre 2015. Pour le surplus, on relève que la prévenue et son compagnon V.________ ont exprimé leur volonté de continuer leur relation de couple. La situation donne de l’inquiétude aux autorités civiles. La justice de paix, par prononcé du 11 août 2015, a confirmé le retrait provisoire de l’autorité parentale de la prévenue sur son fils, né au mois de mai 2015. Il ressort de ce prononcé que malgré les mesures de sécurité mises en place par le SPJ et le réseau médical, la prévenue a persisté dans ses actes de violence et que l’enfant a été confronté à de graves violences (cris des parents et interventions de la police et de l’ambulance) (P. 44). Quant à l’Office des curatelles et tutelles professionnelles, il se dit aussi inquiet, dans une lettre du 2 octobre 2015, du possible retour de la prévenue au domicile parental (P. 45). Au vu de ce qui précède, et en particulier des incertitudes quant aux points de savoir si l’état de santé de la prévenue est suffisamment stabilisé et si elle répond de manière adéquate au traitement médicamenteux, le traitement ambulatoire ordonné par le Tribunal des mesures de contrainte ne paraît pas apte, à tout le moins à ce stade, à prévenir le risque de réitération lié au trouble psychique dont souffre la prévenue, qui doit par conséquent être maintenue en détention provisoire. Celle-ci, prolongée de trois mois le 29 septembre 2015 par le Tribunal des mesures de contrainte, a été jugée conforme au principe de la proportionnalité (art. 212 al. 3 CPP) par arrêt de la Chambre des recours pénale du 14 octobre 2015. Il en va toujours ainsi aujourd’hui.</w:t>
      </w:r>
    </w:p>
    <w:p>
      <w:r>
        <w:rPr>
          <w:b/>
        </w:rPr>
        <w:t>E. 4</w:t>
      </w:r>
    </w:p>
    <w:p>
      <w:r>
        <w:t>Il résulte de ce qui précède que le recours doit être admis et l’ordonnance du 20 novembre 2015 réformée en ce sens que la demande de mise en liberté présentée par la prévenue est rejetée, les chiffres II à V de l’ordonnance étant supprimés.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720 fr., plus la TVA par 57 fr. 60, soit 777 fr. 60, seront mis à la charge de l’intimée qui, ayant conclu au rejet du recours, succombe (art. 428 al. 1 CPP). Le remboursement à l’Etat de l’indemnité allouée au défenseur d’office de H.________ ne sera toutefois exigible que pour autant que sa situation économique se soit améliorée (art. 135 al. 4 CPP). Par ces motifs, la Chambre des recours pénale prononce : I. Le recours est admis. II. L'ordonnance du 20 novembre 2015 est réformée comme il suit : I. rejette la demande de mise en liberté provisoire présentée le 11 novembre 2015 par H.________. II à V. (supprimés) VI. dit que les frais de la décision suivent le sort de la cause. III. L’indemnité allouée au défenseur d’office de H.________ est fixée à 777 fr. 60 (sept cent septante-sept francs et soixante centimes). IV. Les frais du présent arrêt, par 990 fr. (neuf cent nonante francs), ainsi que l'indemnité due au défenseur d'office de H.________, par 777 fr. 60 (sept cent septante-sept francs et soixante centimes), sont mis à la charge de cette dernière. V. Le remboursement à l’Etat de l’indemnité allouée au chiffre III ci-dessus ne sera exigible que pour autant que la situation économique de H.________ se soit améliorée. VI. Le présent arrêt est exécutoire. Le président :               Le greffier : Du Le présent arrêt, dont la rédaction a été approuvée à huis clos, est notifié, par l'envoi d'une copie complète, à : - Me Miriam Mazou, avocate (pour H.________), - Ministère public central, et communiqué à : - Mme la Présidente du Tribunal des mesures de contrainte, - M. le Procureur de l’arrondissement du Nord vaudois, - Association Appartenances,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