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88 vom 30. Januar 2015</w:t>
      </w:r>
    </w:p>
    <w:p>
      <w:r>
        <w:t>VD Tribunal cantonal, 2015-01-30, FR</w:t>
      </w:r>
    </w:p>
    <w:p>
      <w:r>
        <w:rPr>
          <w:b/>
        </w:rPr>
        <w:t xml:space="preserve">Quelle: </w:t>
      </w:r>
      <w:r>
        <w:t>https://mcp.opencaselaw.ch/entscheid/vd_findinfo_D_cision___2015___88</w:t>
      </w:r>
    </w:p>
    <w:p>
      <w:r>
        <w:t>FR: VD_FINDINFO Décision / 2015 / 88 du 30 janvier 2015</w:t>
      </w:r>
    </w:p>
    <w:p>
      <w:r>
        <w:t>IT: VD_FINDINFO Décision / 2015 / 88 del 30 gennaio 2015</w:t>
      </w:r>
    </w:p>
    <w:p>
      <w:pPr>
        <w:pStyle w:val="Heading2"/>
      </w:pPr>
      <w:r>
        <w:t>Regeste</w:t>
      </w:r>
    </w:p>
    <w:p>
      <w:r>
        <w:t>DÉTENTION PROVISOIRE, RISQUE DE FUITE, MESURE MOINS GRAVE | 221 al. 1 let. a CPP (CH), 237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la recourante a été mise en cause par W.________, V.________ et H.________, toutes trois condamnées pour blanchiment d’argent et infractions grave à la LStup, ainsi que par l’analyse rétroactive de différents raccordements téléphoniques utilisés au sein du réseau, pour s’être livrée au transport de plusieurs kilos de cocaïne pour le compte de J.________. Au vu de l’ensemble des éléments qui précèdent, il existe une présomption suffisamment sérieuse de culpabilité à l’encontre de G.________, ce que cette dernière ne conteste d’ailleurs pas.</w:t>
      </w:r>
    </w:p>
    <w:p>
      <w:r>
        <w:rPr>
          <w:b/>
        </w:rPr>
        <w:t>E. 3.1</w:t>
      </w:r>
    </w:p>
    <w:p>
      <w:r>
        <w:t>La recourante conteste le risque de fuite (art. 221 al. 1 let. a CPP).</w:t>
      </w:r>
    </w:p>
    <w:p>
      <w:r>
        <w:rPr>
          <w:b/>
        </w:rPr>
        <w:t>E. 3.2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w:t>
      </w:r>
    </w:p>
    <w:p>
      <w:r>
        <w:rPr>
          <w:b/>
        </w:rPr>
        <w:t>E. 3.3</w:t>
      </w:r>
    </w:p>
    <w:p>
      <w:r>
        <w:t>En l’espèce, la recourante est de nationalité camerounaise et est domiciliée en France. Elle n’a donc aucune attache avec la Suisse. Au vu de la gravité des faits reprochés, il y a lieu de craindre qu’elle cherche à se soustraire aux poursuites pénales en cas de libération, la tentation de prendre la fuite à l'étranger ne pouvant être sous-estimée. Dans ces circonstances, c'est à bon droit que le Tribunal des mesures de contrainte a retenu que le risque de fuite était bien réel.</w:t>
      </w:r>
    </w:p>
    <w:p>
      <w:r>
        <w:rPr>
          <w:b/>
        </w:rPr>
        <w:t>E. 4</w:t>
      </w:r>
    </w:p>
    <w:p>
      <w:r>
        <w:t>La recourante propose que des mesures de substitution soient ordonnées en lieu et place de la détention provisoire.</w:t>
      </w:r>
    </w:p>
    <w:p>
      <w:r>
        <w:rPr>
          <w:b/>
        </w:rPr>
        <w:t>E. 4.1</w:t>
      </w:r>
    </w:p>
    <w:p>
      <w:r>
        <w:t>L’art. 237 al. 1 CPP dispose que le tribunal compétent ordonne une ou plusieurs mesures moins sévères en lieu et place de la détention provisoire ou de la détention pour des motifs de sûreté si ces mesures permettent d'atteindre le même but que la détention. Parmi ces mesures, l’art. 237 al. 2 CPP – qui dresse une liste exemplative et non exhaustive des mesures possibles (Moreillon/Parein-Reymond, Petit commentaire, Code de procédure pénale, Bâle 2013, n. 12 ad art. 237 CPP) – mentionne notamment la fourniture de sûretés (let. a) ainsi que la saisie des documents d’identité et autres documents officiels (let. b).</w:t>
      </w:r>
    </w:p>
    <w:p>
      <w:r>
        <w:rPr>
          <w:b/>
        </w:rPr>
        <w:t>E. 4.2</w:t>
      </w:r>
    </w:p>
    <w:p>
      <w:r>
        <w:t>En l’espèce, il convient d’admettre que le dépôt du passeport de la recourante est susceptible d’empêcher cette dernière de quitter la France et de s'enfuir à l'étranger. En outre, la recourante travaille comme agent de service depuis octobre 2012 et perçoit un salaire mensuel moyen de 926.55 euros (P. 6 du bordereau produit à l’appui de son recours). Elle reçoit également environ 460 euros par mois d’allocations familiales pour elle et ses deux enfants (P. 9 du bordereau précité). Son loyer s’élève à 352 euros, déduction faite de l’aide personnalisée au logement, et ses charges d’électricité à 65.75 euros par mois (P. 10 du bordereau précité). Ainsi, au vu de sa situation financière précaire, le dépôt d’une somme de 2'000 fr. à titre de sûretés est également de nature à garantir que la recourante ne se soustraira pas à la justice suisse. Force est donc de constater que les mesures de substitution proposées par la recourante, soit le dépôt auprès du Ministère public de son passeport ainsi que d’une somme de 2'000 fr. à titre de sûretés, mesures moins sévères que la détention provisoire, sont susceptibles de pallier le risque de fuite retenu. La libération immédiate de la recourante peut ainsi être ordonnée moyennant le respect des mesures de substitution précitées.</w:t>
      </w:r>
    </w:p>
    <w:p>
      <w:r>
        <w:rPr>
          <w:b/>
        </w:rPr>
        <w:t>E. 5</w:t>
      </w:r>
    </w:p>
    <w:p>
      <w:r>
        <w:t>Il résulte de ce qui précède que le recours doit être partiellement admis et l’ordonnance attaquée réformée dans le sens des considérants qui précèdent. Les frais de la procédure de recours, constitués en l'espèce de l'émolument d'arrêt, par 660 fr. (art. 20 al. 1 TFIP [Tarif des frais de procédure et indemnités en matière pénale du 28 septembre 2010 ; RSV 312.03.1]), et des frais imputables à la défense d'office (art. 422 al. 1 et 2 let. a CPP), fixés à 630 fr., plus la TVA par 50 fr. 40, soit 680 fr. 40, seront laissés à la charge de l’Etat (art. 423 al. 1 CPP). Par ces motifs, la Chambre des recours pénale prononce : I. Le recours est partiellement admis. II. L’ordonnance du 7 janvier 2015 est réformée aux chiffres I et II de son dispositif en ce sens que la détention provisoire de G.________ est levée dès que celle-ci aura déposé auprès du Ministère public son passeport ainsi qu’une somme de 2'000 fr. à titre de sûretés. III. L'indemnité allouée au défenseur d'office de G.________ est fixée à 680 fr. 40 (six cent huitante francs et quarante centimes). IV. Les frais d'arrêt, par 660 fr. (six cent soixante francs), ainsi que l'indemnité due au défenseur d'office de G.________, par 680 fr. 40 (six cent huitante francs et quarante centimes), sont laissés à la charge de l'Etat. V. Le présent arrêt est exécutoire. Le président :               La greffière : Du Le présent arrêt, dont la rédaction a été approuvée à huis clos, est notifié, par l'envoi d'une copie complète, à : - Mme Nicole Diserens, avocate (pour G.________),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