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872 vom 27. November 2015</w:t>
      </w:r>
    </w:p>
    <w:p>
      <w:r>
        <w:t>VD Tribunal cantonal, 2015-11-27, FR</w:t>
      </w:r>
    </w:p>
    <w:p>
      <w:r>
        <w:rPr>
          <w:b/>
        </w:rPr>
        <w:t xml:space="preserve">Quelle: </w:t>
      </w:r>
      <w:r>
        <w:t>https://mcp.opencaselaw.ch/entscheid/vd_findinfo_D_cision___2015___872</w:t>
      </w:r>
    </w:p>
    <w:p>
      <w:r>
        <w:t>FR: VD_FINDINFO Décision / 2015 / 872 du 27 novembre 2015</w:t>
      </w:r>
    </w:p>
    <w:p>
      <w:r>
        <w:t>IT: VD_FINDINFO Décision / 2015 / 872 del 27 novembre 2015</w:t>
      </w:r>
    </w:p>
    <w:p>
      <w:pPr>
        <w:pStyle w:val="Heading2"/>
      </w:pPr>
      <w:r>
        <w:t>Regeste</w:t>
      </w:r>
    </w:p>
    <w:p>
      <w:r>
        <w:t>EXPERTISE, DÉCISION D'IRRECEVABILITÉ | 184 CPP (CH), 393 al. 1 let. b CPP (CH), 65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 sauf contre ceux de la direction de la procédure » (en allemand : « ausgenommen sind verfahrensleitende Entscheide »; en italien : « sono eccettuate le disposizioni ordinatorie »). Cette disposition doit être lue en corrélation avec l’art. 65 al. 1 CPP, aux termes duquel « les ordonnances rendues par les tribunaux » (en allemand : « Verfahrensleitende Anordnungen der Gerichte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2011, n. 1969; Jeanneret/Kuhn, Précis de procédure pénale, 2013, n. 19009). Il s'agit en particulier de toutes les décisions qu'exigent l'avancement et le déroulement de la procédure avant ou pendant les débats (ATF 138 IV 193 consid. 4.3.1 pp. 195 s; ATF 140 IV 202 consid. 2.1, SJ 2015 I 73). S’agissant des décisions relatives à la conduite de la procédure prises avant l'ouverture des débats, la jurisprudence a précisé qu'il convenait de limiter l'exclusion du recours à celles qui n'étaient pas susceptibles de causer un préjudice irréparable. A l'inverse, si la décision peut causer un préjudice irréparable, elle est en principe attaquable par la voie du recours prévu par l'art. 393 CPP (ATF 140 IV 202 consid. 2.1, SJ 2015 I 73). Constitue un préjudice irréparable un dommage de nature juridique qui ne puisse pas être réparé ultérieurement par un jugement final ou une autre décision favorable au recourant (TF_6B 805/2014 du 20 octobre 2014; ATF 137 IV 172 consid. 2.1; CREP 31 juillet 2015/513 consid. 2.1; CREP 9 juin 2015/383 consid. 1.1).</w:t>
      </w:r>
    </w:p>
    <w:p>
      <w:r>
        <w:rPr>
          <w:b/>
        </w:rPr>
        <w:t>E. 1.2</w:t>
      </w:r>
    </w:p>
    <w:p>
      <w:r>
        <w:t>En l’espèce, le recours est dirigé contre une décision de la présidente du tribunal de première instance ordonnant une expertise psychiatrique du prévenu. Il s’agit donc d’une décision relative à la marche de la procédure, rendue selon l’art. 184 al. 1 et 2 CPP, qui n’est ainsi susceptible de recours que dans l’hypothèse où elle est susceptible de causer un préjudice irréparable (ATF 140 IV 202 consid. 2.1, SJ 2015 I 73). Or, on ne voit pas que le fait de devoir se soumettre à une expertise psychiatrique, qui ne porte pas atteinte à l’intégrité corporelle, serait de nature à causer au recourant un préjudice irréparable. Il s’agit d’un désagrément inhérent à la qualité de prévenu dans une procédure, désagrément comparable au fait de devoir répondre aux questions des enquêteurs ou de comparaître devant un procureur ou devant un tribunal, comme la Chambre de céans en a statué dans son dernier arrêt précité, rendu à l’égard du recourant (CREP 31 juillet 2015/513 consid. 2.2). Pour le reste, le recourant ne conteste aucune modalité de l’expertise mise en œuvre.</w:t>
      </w:r>
    </w:p>
    <w:p>
      <w:r>
        <w:rPr>
          <w:b/>
        </w:rPr>
        <w:t>E. 2</w:t>
      </w:r>
    </w:p>
    <w:p>
      <w:r>
        <w:t>Il résulte de ce qui précède que le recours doit être déclaré irrecevable.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l’irrecevabilité du recours étant assimilée à son rejet quant au sort des frais (art. 428 al. 1 CPP). Par ces motifs, la Chambre des recours pénale prononce : I. Le recours est irrecevable. II. Les frais d’arrêt, par 440 fr. (quatre cent quarante francs), sont mis à la charge de V.________. III. Le présent arrêt est exécutoire. Le président :               Le greffier : Du Le présent arrêt, dont la rédaction a été approuvée à huis clos, est notifié, par l'envoi d'une copie complète, à : - M. V.________, - Ministère public central, et communiqué à : - M. le Procureur de l’arrondissement de l’Est vaudois, - Mme la Présidente du Tribunal de l’arrondissement de l’Est vaudois, - Me Luc del Rizzo, avocat (pour [...]), - Mme [...], -                Docteur Gérald Klinke,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