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87 vom 5. Januar 2014</w:t>
      </w:r>
    </w:p>
    <w:p>
      <w:r>
        <w:t>VD Tribunal cantonal, 2014-01-05, FR</w:t>
      </w:r>
    </w:p>
    <w:p>
      <w:r>
        <w:rPr>
          <w:b/>
        </w:rPr>
        <w:t xml:space="preserve">Quelle: </w:t>
      </w:r>
      <w:r>
        <w:t>https://mcp.opencaselaw.ch/entscheid/vd_findinfo_D_cision___2015___87</w:t>
      </w:r>
    </w:p>
    <w:p>
      <w:r>
        <w:t>FR: VD_FINDINFO Décision / 2015 / 87 du 5 janvier 2014</w:t>
      </w:r>
    </w:p>
    <w:p>
      <w:r>
        <w:t>IT: VD_FINDINFO Décision / 2015 / 87 del 5 gennaio 2014</w:t>
      </w:r>
    </w:p>
    <w:p>
      <w:pPr>
        <w:pStyle w:val="Heading2"/>
      </w:pPr>
      <w:r>
        <w:t>Regeste</w:t>
      </w:r>
    </w:p>
    <w:p>
      <w:r>
        <w:t>GESTION FAUTIVE, ESCROQUERIE, CLASSEMENT DE LA PROCÉDURE, DÉCISION DE RENVOI | 146 CP, 165 CP, 319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 En effet, en cas de doute, ce n'est pas à l'autorité d'instruction ou d'accusation mais au juge matériellement compétent qu'il appartient de se prononcer. Au stade de la mise en accusation, le principe « in dubio pro reo », relatif à l'appréciation de preuves par l'autorité de jugement, ne s'applique donc pas. C'est au contraire la maxime « in dubio pro duriore » qui impose, en cas de doute, une mise en accusation. Ce principe vaut également pour l'autorité judiciaire chargée de l'examen d'une décision de classement (TF 6B_588/2007 du 11 avril 2008 c. 3.2.3, in : Pra 2008 n° 123).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3.1</w:t>
      </w:r>
    </w:p>
    <w:p>
      <w:r>
        <w:t>Aux termes de l’art. 165 CP, le débiteur qui, de manières autres que celles visées à l'art.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visée par l'art. 165 ch. 1 CP est celle de l'art. 725 al. 2 CO, soit la situation existant lorsque les dettes ne sont plus couvertes ni sur la base d'un bilan d'exploitation, ni sur la base d'un bilan de liquidation, autrement dit lorsque les passifs excèdent les actifs (TF 6B_135/2014 et 6B_144/2014 du 30 octobre 2014 c. 3.1 ; TF 6P.168/2006 du 29 décembre 2006 c. 8.1.1).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41 c. 2 et TF 6B_433/2007 du 11 février 2008 c. 2.1). L'infraction de gestion fautive ne peut être commise que par le débiteur. Toutefois, lorsque le délit est perpétré dans la gestion d'une personne morale, celui-ci peut être commis par la personne physique qui a agi pour elle en qualité d'organe ou de membre d'un tel organe (art. 29 CP).</w:t>
      </w:r>
    </w:p>
    <w:p>
      <w:r>
        <w:rPr>
          <w:b/>
        </w:rPr>
        <w:t>E. 3.2</w:t>
      </w:r>
    </w:p>
    <w:p>
      <w:r>
        <w:t>En l’espèce, la faillite de la société L.________SA a été prononcée le 26 septembre 2011. Ainsi, pour que les éléments constitutifs de l’infraction de gestion fautive soient réalisés, il faut apporter la preuve que les prévenus savaient, au moment de la conclusion du contrat avec la recourante le 11 mars 2011, que leur société ne pourrait plus assumer ses obligations au vu de la situation désespérée de celle-ci. Entendus par le Procureur, A.D.________ et B.D.________ ont notamment expliqué que « la situation de trésorerie de L.________SA a été difficile en 2011 ce qui a empêché le paiement des factures » (PV aud. 1, p. 3), mais que la société n’était pas en difficulté à fin 2010 (PV aud. 3, p. 3). Toutefois, lors son audition du 8 août 2012, A.D.________ a précisé que les premières mesures d’assainissement avaient été prises dans le courant de l’année 2010 (PV aud. 2, p. 2). Il ressort à cet égard du bilan non révisé de la société L.________SA que les pertes de l’exercice étaient de 163'405 fr. 43 pour l’année 2009 et de 553'774 fr. 72 pour l’année 2010 (P. 22). Au 31 décembre 2010, les comptes présentaient un solde négatif de 297'674 fr. 40 (ibid.). Cette analyse tendrait à démontrer que la situation financière de la société s’était déjà passablement péjorée durant l’année 2010 et que les prévenus le savaient. X.________, qui travaillait pour T.________SA, organe de révision de l’entreprise L.________SA, a été entendu à ce sujet le 9 novembre 2012. Il a indiqué qu’il avait participé à la révision de l’exercice 2009 mais ne savait pas si la révision avait pu être faite pour l’exercice 2010 (PV aud. 4, p. 2). Dans un courrier du 12 août 2011, V.________, réviseur responsable de T.________SA, avait sollicité de L.________SA la remise des états financiers définitifs au 31 décembre 2010 et l’avait rendue attentive au fait que le conseil d’administration devait aviser le juge en cas de surendettement et de son impossibilité de faire face à ses engagements (P. 22). L’audition de V.________, comme sollicitée par la recourante, permettra ainsi d’être renseigné sur l’évolution de la situation de L.________SA en 2010 déjà et sur les raisons d’une absence d’avis au sens de l’art. 725 CO. En outre, il apparaît au bilan non révisé que la société L.________SA a prélevé en 2010 d’importantes sommes d’argent pour un total de 434'741 fr. 94 en faveur des sociétés X.________AG, B.________AG et S.________SA. Ces trois sociétés, toutes domiciliées à Zoug, ont notamment comme administrateurs A.D.________ et B.D.________. Le 12 août 2011, l’organe de révision T.________SA avait à cet égard rendu attentif L.________SA au fait que plusieurs sociétés présentaient des comptes courants envers les actionnaires, ce qui pouvait constituer une violation de l’interdiction de remboursement des apports selon la situation des fonds propres de la société (art. 680 al. 2 CO) (cf. P. 22). Il appartiendra dans ces circonstances au Procureur de vérifier la nature de ces transferts d’argent, en particulier au regard de l’art. 680 al. 2 CO, le cas échéant avec l’aide du réviseur V.________. Par conséquent, l’instruction devra être complétée sur ces points.</w:t>
      </w:r>
    </w:p>
    <w:p>
      <w:r>
        <w:rPr>
          <w:b/>
        </w:rPr>
        <w:t>E. 4.1</w:t>
      </w:r>
    </w:p>
    <w:p>
      <w:r>
        <w:t>Réprimant l’escroquerie, l’art. 146 CP dispose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serait laissé tromper (ATF 119 IV 28 c. 3c; Dupuis et alii, op. cit., n. 12 ad art. 146 CP).</w:t>
      </w:r>
    </w:p>
    <w:p>
      <w:r>
        <w:rPr>
          <w:b/>
        </w:rPr>
        <w:t>E. 4.2</w:t>
      </w:r>
    </w:p>
    <w:p>
      <w:r>
        <w:t>En l’espèce, comme on l’a vu ci-dessus, les mesures d’instruction complémentaires devraient permettre de déterminer si les prévenus avaient ou devaient avoir connaissance de la situation financière alarmante de la société L.________SA déjà durant l’année 2010, à tout le moins avant de vendre un système de géolocalisation GPS à la recourante en mars 2011. De tels agissements paraissent réaliser les éléments constitutifs de l’infraction d’escroquerie au sens de l’art. 146 CP, puisque si la société était obérée et semblait dans l’incapacité d’honorer des engagements sur quatre ans, les actes consistants d’une part à transférer des actifs de la société auprès de tiers ou auprès des actionnaires et d’autre part à tromper de nouveaux cocontractants pour faire rentrer de nouvelles liquidités, ressemblent à un procédé astucieux visant à obtenir des fonds en sachant que ces engagements ne pourraient être honorés.</w:t>
      </w:r>
    </w:p>
    <w:p>
      <w:r>
        <w:rPr>
          <w:b/>
        </w:rPr>
        <w:t>E. 5</w:t>
      </w:r>
    </w:p>
    <w:p>
      <w:r>
        <w:t>Sur le vu de ce qui précède, il existe des soupçons suffisants pour permettre la mise en accusation de A.D.________ et B.D.________ pour escroquerie et gestion fautive. Une fois les mesures d’instruction complémentaires effectuées, il appartiendra au Ministère public de dresser un acte d’accusation en vertu de la maxime « in dubio pro duriore », conformément à la jurisprudence fédérale citée plus haut.</w:t>
      </w:r>
    </w:p>
    <w:p>
      <w:r>
        <w:rPr>
          <w:b/>
        </w:rPr>
        <w:t>E. 6</w:t>
      </w:r>
    </w:p>
    <w:p>
      <w:r>
        <w:t>En définitive, le recours doit être admis, l'ordonnance de classement annulée et le dossier de la cause renvoyé au Ministère public de l'arrondissement de La Côte pour qu'il procède dans le sens des considérants. Les frais de la procédure de recours, constitués du seul émolument d'arrêt, par 1’100 fr. (art. 20 al. 1 TFIP [Tarif des frais de procédure et indemnités en matière pénale du 28 septembre 2010, RSV 312.03.1]), seront mis à la charge de A.D.________ et B.D.________, qui ont conclu au rejet du recours, à parts égales et solidairement entre eux (art. 418 al. 1 et 2 et 428 al. 1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25 septembre 2014 est annulée. III. Le dossier de la cause est renvoyé au Ministère public de l'arrondissement de La Côte pour qu’il procède dans le sens des considérants. IV. Les frais d'arrêt, par 1’100 fr. (mille cent francs), sont mis à la charge de A.D.________ et B.D.________, à parts égales et solidairement entre eux. V. Le présent arrêt est exécutoire. Le président :               La greffière : Du Le présent arrêt, dont la rédaction a été approuvée à huis clos, est notifié, par l'envoi d'une copie complète, à : - M. Alain Dubuis, avocat (pour Q.________Sàrl), - M. Stéphane Ducret, avocat (pour A.D.________ et B.D.________),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