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869 vom 26. November 2015</w:t>
      </w:r>
    </w:p>
    <w:p>
      <w:r>
        <w:t>VD Tribunal cantonal, 2015-11-26, FR</w:t>
      </w:r>
    </w:p>
    <w:p>
      <w:r>
        <w:rPr>
          <w:b/>
        </w:rPr>
        <w:t xml:space="preserve">Quelle: </w:t>
      </w:r>
      <w:r>
        <w:t>https://mcp.opencaselaw.ch/entscheid/vd_findinfo_D_cision___2015___869</w:t>
      </w:r>
    </w:p>
    <w:p>
      <w:r>
        <w:t>FR: VD_FINDINFO Décision / 2015 / 869 du 26 novembre 2015</w:t>
      </w:r>
    </w:p>
    <w:p>
      <w:r>
        <w:t>IT: VD_FINDINFO Décision / 2015 / 869 del 26 novembre 2015</w:t>
      </w:r>
    </w:p>
    <w:p>
      <w:pPr>
        <w:pStyle w:val="Heading2"/>
      </w:pPr>
      <w:r>
        <w:t>Regeste</w:t>
      </w:r>
    </w:p>
    <w:p>
      <w:r>
        <w:t>RÉCUSATION | 56 let. f CPP (CH)</w:t>
      </w:r>
    </w:p>
    <w:p>
      <w:pPr>
        <w:pStyle w:val="Heading2"/>
      </w:pPr>
      <w:r>
        <w:t>Erwägungen</w:t>
      </w:r>
    </w:p>
    <w:p>
      <w:r>
        <w:rPr>
          <w:b/>
        </w:rPr>
        <w:t>E. 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le requérant à l’encontre du Procureur [...] (art. 13 de la loi d’introduction du code de procédure pénale suisse [LVCPP]; RSV 312.01).</w:t>
      </w:r>
    </w:p>
    <w:p>
      <w:r>
        <w:rPr>
          <w:b/>
        </w:rPr>
        <w:t>E. 2.1</w:t>
      </w:r>
    </w:p>
    <w:p>
      <w:r>
        <w:t>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TF 6B_621/2011 du 19 décembre 2011 consid. 2.2).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ATF 134 I 20 consid. 4.2; TF 1B_105/2013 du 21 mai 2013 consid. 2.1). En particulier, on ne saurait admettre systématiquement la récusation d'un procureur au motif qu'il aurait déjà rendu dans la même cause, par exemple une ordonnance de non-entrée en matière ou de classement annulée par l'autorité de recours. D'une part, en effet, des décisions ou des actes de procédure qui se révèlent par la suite erronés ne fondent pas en soi une apparence objective de prévention; seules des fautes de procédure graves ou répétées, constitutives de violations graves des devoirs du magistrat, peuvent fonder une suspicion de partialité, pour autant que les circonstances dénotent que le juge (ou le procureur) est prévenu ou justifient à tout le moins objectivement l'apparence de prévention (ATF 141 IV 178). D’autre part, la jurisprudence considère que le magistrat appelé à statuer à nouveau après l'annulation d'une de ses décisions est en général à même de tenir compte de l'avis exprimé par l'instance supérieure et de s'adapter aux injonctions qui lui sont faites (ATF 116 Ia 28 consid. 2a).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(ATF 138 IV 142 consid. 2.3; cf. aussi ATF 116 Ia 135 consid. 3a; ATF 114 Ia 153 consid. 3b/bb; ATF 111 Ia 259 consid. 3b/aa et les références citées). En particulier, le fait que le magistrat dont la récusation est demandée par un prévenu ait, par le passé, condamné le requérant dans une autre procédure, ne constitue pas en lui-même un indice de prévention et, partant, un motif de récusation, s’agissant même d’un état de fait plus ou moins semblable (RJB 1992 pp. 412 s.). La nouvelle saisine du même magistrat ne contrevient pas à l’exigence de la séparation personnelle du juge du renvoi et du juge du fond (ATF 114 Ia 50 spéc. consid. 4).</w:t>
      </w:r>
    </w:p>
    <w:p>
      <w:r>
        <w:rPr>
          <w:b/>
        </w:rPr>
        <w:t>E. 2.2</w:t>
      </w:r>
    </w:p>
    <w:p>
      <w:r>
        <w:t>En l'espèce, les requérants ne mentionnent aucun fait objectif qui serait de nature à établir un indice ou une apparence de prévention en leur défaveur. D’abord, le fait que le magistrat dont la récusation est demandée ait, par le passé, statué en défaveur des requérants, singulièrement en rendant une ordonnance pénale à l’encontre de l’un d’eux, ne constitue pas un indice de prévention à défaut de tout élément particulier, comme cela ressort de la jurisprudence résumée ci-dessus. En particulier, on ne discerne aucune faute grave ou répétée du procureur au sens de la jurisprudence topique récente (ATF 141 IV 178). Pour le surplus, les liens d’amitié allégués ne sont pas établis. Certes, le procureur [...] a indiqué avoir été le condisciple de [...] à la Faculté de droit de l’Université de Lausanne « il y a quelques décennies »; il a expressément nié tout rapport amical particulier entre son épouse et lui-même, d’une part, et les époux [...], d’autre part. Il est toutefois courant, au vu du nombre d’étudiants en droit achevant leur formation chaque année dans le canton, que d’anciens camarades d’études aient à faire les uns avec les autres au cours de leur carrière. Cet élément n’est pas en lui-même de nature à affecter l’indépendance d’un magistrat à l’égard d’un mandataire. Au demeurant, la lettre de l’art. 56 let. f CPP exige un rapport d'amitié étroit du fonctionnaire ou magistrat concerné avec une partie ou son conseil, pour le rendre suspect de prévention. Or, les requérants n’ont démontré aucun rapport d’amitié tel que défini par la loi. Il n’y a dès lors ni prévention, ni même apparence de prévention, qui pourrait donner lieu à récusation.</w:t>
      </w:r>
    </w:p>
    <w:p>
      <w:r>
        <w:rPr>
          <w:b/>
        </w:rPr>
        <w:t>E. 3</w:t>
      </w:r>
    </w:p>
    <w:p>
      <w:r>
        <w:t>En définitive, la demande de récusation présentée le 30 octobre 2015 par B.W.________ et A.W.________ à l’encontre du Procureur [...] doit être rejetée. Les frais de procédure, constitués en l’espèce du seul émolument de décision, par 550 fr. (art. 20 al. 1 TFIP [Tarif des frais de procédure et indemnités en matière pénale du 28 septembre 2010; RSV 312.03.1]), seront mis à la charge des requérants, dont la demande est rejetée (art. 59 al. 4, seconde phrase, CPP), à parts égales et solidairement entre eux (art. 418 al. 1 et 2 CPP). Par ces motifs, la Chambre des recours pénale prononce : I. La demande de récusation présentée le 30 octobre 2015 par B.W.________ et A.W.________ à l’encontre du Procureur [...] est rejetée. II. Les frais de la présente décision, par 550 fr. (cinq cent cinquante francs), sont mis à la charge de B.W.________ et A.W.________, à parts égales et solidairement entre eux. III. La présente décision est exécutoire. Le président :               Le greffier : Du La décision qui précède, dont la rédaction a été approuvée à huis clos, est notifiée, par l'envoi d'une copie complète, à : - M. A.W.________, - Mme B.W.________, - Ministère public central; et communiquée à : ‑ M. le Procureur de l’arrondissement de l’Est vaudois, - Me [...], avocat (pour [...]),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