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868 vom 18. November 2015</w:t>
      </w:r>
    </w:p>
    <w:p>
      <w:r>
        <w:t>VD Tribunal cantonal, 2015-11-18, FR</w:t>
      </w:r>
    </w:p>
    <w:p>
      <w:r>
        <w:rPr>
          <w:b/>
        </w:rPr>
        <w:t xml:space="preserve">Quelle: </w:t>
      </w:r>
      <w:r>
        <w:t>https://mcp.opencaselaw.ch/entscheid/vd_findinfo_D_cision___2015___868</w:t>
      </w:r>
    </w:p>
    <w:p>
      <w:r>
        <w:t>FR: VD_FINDINFO Décision / 2015 / 868 du 18 novembre 2015</w:t>
      </w:r>
    </w:p>
    <w:p>
      <w:r>
        <w:t>IT: VD_FINDINFO Décision / 2015 / 868 del 18 novembre 2015</w:t>
      </w:r>
    </w:p>
    <w:p>
      <w:pPr>
        <w:pStyle w:val="Heading2"/>
      </w:pPr>
      <w:r>
        <w:t>Regeste</w:t>
      </w:r>
    </w:p>
    <w:p>
      <w:r>
        <w:t>DÉCISION D'IRRECEVABILITÉ, SIGNATURE, VICE DE FORME | 319 CPP (CH), 91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 RSV 312.01] ; art. 80 LOJV [loi vaudoise d’organisation judiciaire ; RSV 173.01]). Aux termes de l’art. 91 al. 2 CPP, les écrits doivent être remis au plus tard le dernier jour du délai à l’autorité pénale ou à la Poste suisse notamment. L’expression « les écrits » s’interprète largement. Elle vise toute forme d’écriture (plainte, réclamation, recours) liée à un délai dans lequel celle-ci doit être déposée. Il doit s’agir d’un original, soit d’un document signé par la partie ou son mandataire, de sorte qu’une copie ou un téléfax n’est pas recevable (Stoll, in: Kuhn/Jeanneret [éd.], Commentaire romand, Code de procédure pénale suisse, Bâle 2011, n. 10 ad art. 91 CPP ; Corboz et al., Commentaire de la loi sur le Tribunal fédéral,</w:t>
      </w:r>
    </w:p>
    <w:p>
      <w:r>
        <w:rPr>
          <w:b/>
        </w:rPr>
        <w:t>E. 1.2</w:t>
      </w:r>
    </w:p>
    <w:p>
      <w:r>
        <w:t>En l’espèce, le recourant a adressé à la Cour de céans une copie de son acte de recours. Celle-ci n’était donc pas munie de sa signature originale. Bien qu’I.________ se soit acquitté du montant des sûretés dans le délai imparti, il n’a pas donné suite à la mise en conformité formelle de son acte de recours, de sorte que la Chambre des recours pénale n’est toujours pas, à ce jour, en possession d’un acte de recours muni de sa signature originale.</w:t>
      </w:r>
    </w:p>
    <w:p>
      <w:r>
        <w:rPr>
          <w:b/>
        </w:rPr>
        <w:t>E. 2</w:t>
      </w:r>
    </w:p>
    <w:p>
      <w:r>
        <w:t>Il résulte de ce qui précède que le recours formé par I.________ doit être déclaré irrecevable. Les frais de la procédure de recours, constitués de l’émolument d’arrêt (art. 422 al. 1 CPP), par 440 fr. (art. 20 al. 2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440 fr. (quatre cent quarante francs), sont mis à la charge du recourant. III. Les frais mis à la charge du recourant sous chiffre II ci-dessus sont compensés avec le montant de 550 fr. (cinq cent cinquante francs) déjà versé par celui-ci à titre de sûretés et le solde, par 110 fr. (cent dix francs), lui est restitué. IV. Le présent arrêt est exécutoire. Le président :               La greffière : Du Le présent arrêt, dont la rédaction a été approuvée à huis clos, est notifié, par l'envoi d'une copie complète, à : - M. I.________,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