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862 vom 24. November 2015</w:t>
      </w:r>
    </w:p>
    <w:p>
      <w:r>
        <w:t>VD Tribunal cantonal, 2015-11-24, FR</w:t>
      </w:r>
    </w:p>
    <w:p>
      <w:r>
        <w:rPr>
          <w:b/>
        </w:rPr>
        <w:t xml:space="preserve">Quelle: </w:t>
      </w:r>
      <w:r>
        <w:t>https://mcp.opencaselaw.ch/entscheid/vd_findinfo_D_cision___2015___862</w:t>
      </w:r>
    </w:p>
    <w:p>
      <w:r>
        <w:t>FR: VD_FINDINFO Décision / 2015 / 862 du 24 novembre 2015</w:t>
      </w:r>
    </w:p>
    <w:p>
      <w:r>
        <w:t>IT: VD_FINDINFO Décision / 2015 / 862 del 24 novembre 2015</w:t>
      </w:r>
    </w:p>
    <w:p>
      <w:pPr>
        <w:pStyle w:val="Heading2"/>
      </w:pPr>
      <w:r>
        <w:t>Regeste</w:t>
      </w:r>
    </w:p>
    <w:p>
      <w:r>
        <w:t>AVOCAT D'OFFICE | 132 al. 2 CPP (CH), 132 al. 3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2 juillet 2015/ 455;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(art. 396 al. 1 CPP) par le prévenu qui a qualité pour recourir (art. 382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l’espèce, le recourant est prévenu de violation simple des règles de la circulation routière et de contrainte. Au vu de ces faits, on ne saurait considérer qu’il encourt une peine privative de liberté de plus d’un an ou une mesure entraînant une privation de liberté. On ne se trouve donc pas dans un cas de défense obligatoire. Le recourant ne le soutient du reste pas. Quant à savoir si l’affaire est de peu de gravité, il n’apparaît pas davantage que le recourant soit passible d’une peine privative de liberté de plus de quatre mois, d’une peine pécuniaire de plus de 120 jours-amende ou d’un travail d’intérêt général de plus de 480 heures, ce d’autant qu’il n’a pas d’antécédent pénal. A cet égard, on peut se référer à la peine prononcée par l’ordonnance pénale réprimant les mêmes faits, qui constitue un indice quant à la peine susceptible d’être prononcée (TF 1B_138/2015 du 1 er juillet 2015 consid. 2.2 in fine). Or la peine prononcée par le Procureur est très éloignée du minimum prévu par l’art. 132 al. 3 CPP. Il s’agit ainsi assurément d’un cas bagatelle. Par ailleurs, on ne saurait admettre que l’affaire présente objectivement, sur le plan des faits ou du droit, des difficultés que le prévenu ne pourrait pas surmonter seul. Les faits paraissent matériellement établis, notamment par les déclarations des conducteurs recueillies par la police (PV aud. 1 et 2), qu’il appartiendra au Tribunal de police d’apprécier. La principale notion de droit à trancher est celle de la contrainte au sens de l’art. 181 CP (Code pénal; RS 311.0), à apprécier au regard du concours éventuel d’infractions au sens de l’art. 49 al. 1 CP. On ne voit guère, contrairement à ce que fait plaider le recourant, en quoi la question de l’application éventuelle de l’art. 218 CPP, qui a pour objet les conditions de la licéité de l’arrestation provisoire d’un particulier lorsque l'aide de la police ne peut être obtenue à temps, poserait des problèmes particuliers. Peu importe à cet égard qu’il s’agisse d’une norme rarement appliquée, la jurisprudence en la matière étant dès lors de peu d’ampleur. Enfin, comme le relève le recourant, l’autre conducteur impliqué dans le complexe de faits a déjà été condamné à raison de ceux-ci. Il n’est donc susceptible d’être entendu que comme témoin dans le procès dirigé contre le recourant. Partant, celui-ci n’aura pas à opposer sa version à celle de celui-là comparaissant comme co-prévenu. La cause paraît dès lors des plus simples.</w:t>
      </w:r>
    </w:p>
    <w:p>
      <w:r>
        <w:rPr>
          <w:b/>
        </w:rPr>
        <w:t>E. 2.3</w:t>
      </w:r>
    </w:p>
    <w:p>
      <w:r>
        <w:t>L’une des conditions cumulatives de la défense d’office faisant défaut, il n’y a pas lieu d’examiner la seconde, soit l’indigence du recourant (art. 132 al. 1 let. b CPP).</w:t>
      </w:r>
    </w:p>
    <w:p>
      <w:r>
        <w:rPr>
          <w:b/>
        </w:rPr>
        <w:t>E. 2.4</w:t>
      </w:r>
    </w:p>
    <w:p>
      <w:r>
        <w:t>Au vu de ce qui précède, l’assistance d’un avocat n’est pas nécessaire à la sauvegarde des intérêts du recourant au sens de l’art. 132 al. 2 et 3 CPP, de sorte que c’est à juste titre que la direction de la procédure du tribunal pénal de première instance lui a refusé la désignation d’un défenseur d’office.</w:t>
      </w:r>
    </w:p>
    <w:p>
      <w:r>
        <w:rPr>
          <w:b/>
        </w:rPr>
        <w:t>E. 3</w:t>
      </w:r>
    </w:p>
    <w:p>
      <w:r>
        <w:t>En définitive, le recours doit être rejeté sans autre échange d’écritures (art. 390 al. 2 CPP) et le prononcé attaqué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10 novembre 2015 est confirmé. III. Les frais du présent arrêt, par 660 fr. (six cent soixante francs), sont mis à la charge de L.________. IV. Le présent arrêt est exécutoire. Le président:               Le greffier : Du Le présent arrêt, dont la rédaction a été approuvée à huis clos, est notifié, par l'envoi d'une copie complète, à : - Me Roberto Izzo, avocat (pour L.________), - Ministère public central, et communiqué à : ‑ Mme la Présidente du Tribunal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