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861 vom 24. November 2015</w:t>
      </w:r>
    </w:p>
    <w:p>
      <w:r>
        <w:t>VD Tribunal cantonal, 2015-11-24, FR</w:t>
      </w:r>
    </w:p>
    <w:p>
      <w:r>
        <w:rPr>
          <w:b/>
        </w:rPr>
        <w:t xml:space="preserve">Quelle: </w:t>
      </w:r>
      <w:r>
        <w:t>https://mcp.opencaselaw.ch/entscheid/vd_findinfo_D_cision___2015___861</w:t>
      </w:r>
    </w:p>
    <w:p>
      <w:r>
        <w:t>FR: VD_FINDINFO Décision / 2015 / 861 du 24 novembre 2015</w:t>
      </w:r>
    </w:p>
    <w:p>
      <w:r>
        <w:t>IT: VD_FINDINFO Décision / 2015 / 861 del 24 novembre 2015</w:t>
      </w:r>
    </w:p>
    <w:p>
      <w:pPr>
        <w:pStyle w:val="Heading2"/>
      </w:pPr>
      <w:r>
        <w:t>Regeste</w:t>
      </w:r>
    </w:p>
    <w:p>
      <w:r>
        <w:t>DÉTENTION PROVISOIRE, RISQUE DE COLLUSION, RISQUE DE FUITE, RISQUE DE RÉCIDIVE | 221 al. 1 let. a CPP (CH), 221 al. 1 let. b CPP (CH), 221 al. 1 let. c CPP (CH), 222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 En l’espèce, il y a lieu d’entrer en matière sur le recours, qui a été interjeté en temps utile devant l’autorité compétente et qui satisfait aux conditions de forme posées par l’art. 385 al. 1 CPP.</w:t>
      </w:r>
    </w:p>
    <w:p>
      <w:r>
        <w:rPr>
          <w:b/>
        </w:rPr>
        <w:t>E. 2</w:t>
      </w:r>
    </w:p>
    <w:p>
      <w:r>
        <w:t>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ne doit pas durer plus longtemps que la peine privative de liberté prévisible (art. 212 al. 3 CPP).</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consid. 3c ; TF 1B_423/2010 du 17 janvier 2011 consid. 4.1 ; Piquerez, Traité de procédure pénale suisse, 2 e éd., Zurich 2006, n. 845 ; Schmocker, op. cit., n. 8 ad art. 221 CPP, p. 1025 ; Forster, in : Niggli/Heer/Wiprächtiger [éd.], Basler Kommentar, Schweizerische Strafprozessordnung,</w:t>
      </w:r>
    </w:p>
    <w:p>
      <w:r>
        <w:rPr>
          <w:b/>
        </w:rPr>
        <w:t>E. 2.3</w:t>
      </w:r>
    </w:p>
    <w:p>
      <w:r>
        <w:t>En l’espèce, il ressort du dossier que le prévenu conteste toute implication dans les faits qui lui sont reprochés, hormis quelques vols de flacons de parfum. Cependant, il existe plusieurs indices de commission des infractions envisagées, tels que ses empreintes relevées à l’intérieur de la porte d’entrée principale du commerce d’optique cambriolé, sa mise en cause par son comparse présumé, avant que ce dernier ne se rétracte, et des images de vidéosurveillance qui le placent sur les lieux de certaines infractions. Au vu de ce qui précède, il existe à ce stade de l’enquête des soupçons suffisamment sérieux de culpabilité à l’encontre de U.________.</w:t>
      </w:r>
    </w:p>
    <w:p>
      <w:r>
        <w:rPr>
          <w:b/>
        </w:rPr>
        <w:t>E. 3</w:t>
      </w:r>
    </w:p>
    <w:p>
      <w:r>
        <w:t>Le premier juge a retenu un risque de fuite (art. 221 al. 1 let. a CPP), un risque de collusion (art. 221 al. 1 let. b CPP) et un risque de réitération (art. 221 la. 1 let. c CPP) pour ordonner la mise en détention de U.________.</w:t>
      </w:r>
    </w:p>
    <w:p>
      <w:r>
        <w:rPr>
          <w:b/>
        </w:rPr>
        <w:t>E. 3.1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consid.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consid. 3.1 et les références citées). En l’espèce, le prévenu est un ressortissant marocain qui séjourne illégalement en Suisse, qui n’a pas de domicile connu et aucune attache dans ce pays. Par conséquent, le risque de fuite est concret.</w:t>
      </w:r>
    </w:p>
    <w:p>
      <w:r>
        <w:rPr>
          <w:b/>
        </w:rPr>
        <w:t>E. 3.2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consid. 6.2 et 6.4) –, vise à garantir la constatation exacte et complète des faits. En l’espèce, l’enquête en est à ses débuts et des investigations policières sont actuellement en cours. En particulier, les données du téléphone cellulaire saisi en possession du recourant doivent être extraites et analysées en vue, notamment, d’identifier ses déplacements et ses éventuels complices. En l’état, il faut donc éviter que le recourant n’entrave l’instruction et ne compromette le bon déroulement de ces vérifications. Dans ces circonstances, le risque de collusion s'oppose clairement à la levée de la détention provisoire du recourant.</w:t>
      </w:r>
    </w:p>
    <w:p>
      <w:r>
        <w:rPr>
          <w:b/>
        </w:rPr>
        <w:t>E. 3.3</w:t>
      </w:r>
    </w:p>
    <w:p>
      <w:r>
        <w:t>Le maintien en détention ne peut se justifier en raison d’un risque de réitération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 Dans le cas particulier, seize inscriptions figurent au casier judiciaire du prévenu pour des infractions similaires à celles qui font l’objet de la présente procédure. Force est de constater que le prévenu n’a eu de cesse de récidiver malgré les condamnations prononcées à son encontre. Partant, au vu de ces éléments, le risque de réitération est avéré.</w:t>
      </w:r>
    </w:p>
    <w:p>
      <w:r>
        <w:rPr>
          <w:b/>
        </w:rPr>
        <w:t>E. 4</w:t>
      </w:r>
    </w:p>
    <w:p>
      <w:r>
        <w:t>Au vu de la situation personnelle du recourant, aucune mesure de substitution n’est à même de prévenir les risques retenus. Le recourant n’en propose du reste aucune. Le maintien de U.________ en détention provisoire est ainsi justifié.</w:t>
      </w:r>
    </w:p>
    <w:p>
      <w:r>
        <w:rPr>
          <w:b/>
        </w:rPr>
        <w:t>E. 5</w:t>
      </w:r>
    </w:p>
    <w:p>
      <w:r>
        <w:t>Selon l'art. 212 al. 3 CPP,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 En l’espèce, U.________ est détenu depuis le 5 novembre 2015, soit depuis une vingtaine de jours. Compte tenu des actes qui lui sont reprochés et de ses antécédents, le recourant s'expose à une peine privative de liberté d’une durée manifestement supérieure à celle de la détention provisoire subie à ce jour. Au vu de ces éléments, le principe de la proportionnalité de la détention provisoire est respecté.</w:t>
      </w:r>
    </w:p>
    <w:p>
      <w:r>
        <w:rPr>
          <w:b/>
        </w:rPr>
        <w:t>E. 6</w:t>
      </w:r>
    </w:p>
    <w:p>
      <w:r>
        <w:t>En définitive, le recours, manifestement mal fondé, doit être rejeté et l'ordonnance entreprise confirmée. Les frais de la procédure de recours, constitués en l’espèce de l’émolument d'arrêt, par 770 fr. (art. 20 al. 1 TFIP [tarif des frais de procédure et indemnités en matière pénale ; RSV 312.03.1]), seront mis à la charge du recourant, qui succombe (art. 428 al. 1 CPP). Par ces motifs, la Chambre des recours pénale prononce : I. Le recours est rejeté. II. L’ordonnance du 6 novembre 2015 est confirmée. III. Les frais d’arrêt, par 770 fr. (sept cent septante francs), sont mis à la charge de U.________. IV. Le présent arrêt est exécutoire. Le président :               La greffière : Du Le présent arrêt, dont la rédaction a été approuvée à huis clos, est notifié, par l'envoi d'une copie complète, à : - Me Raphaël Dessemontet, avocat (pour U.________),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