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860 vom 11. Dezember 2015</w:t>
      </w:r>
    </w:p>
    <w:p>
      <w:r>
        <w:t>VD Tribunal cantonal, 2015-12-11, FR</w:t>
      </w:r>
    </w:p>
    <w:p>
      <w:r>
        <w:rPr>
          <w:b/>
        </w:rPr>
        <w:t xml:space="preserve">Quelle: </w:t>
      </w:r>
      <w:r>
        <w:t>https://mcp.opencaselaw.ch/entscheid/vd_findinfo_D_cision___2015___860</w:t>
      </w:r>
    </w:p>
    <w:p>
      <w:r>
        <w:t>FR: VD_FINDINFO Décision / 2015 / 860 du 11 décembre 2015</w:t>
      </w:r>
    </w:p>
    <w:p>
      <w:r>
        <w:t>IT: VD_FINDINFO Décision / 2015 / 860 del 11 dicembre 2015</w:t>
      </w:r>
    </w:p>
    <w:p>
      <w:pPr>
        <w:pStyle w:val="Heading2"/>
      </w:pPr>
      <w:r>
        <w:t>Regeste</w:t>
      </w:r>
    </w:p>
    <w:p>
      <w:r>
        <w:t>EXÉCUTION DES PEINES ET DES MESURES, INTÉRÊT ACTUEL, DÉCISION D'IRRECEVABILITÉ | 38 LEP, 382 al. 1 CPP (CH)</w:t>
      </w:r>
    </w:p>
    <w:p>
      <w:pPr>
        <w:pStyle w:val="Heading2"/>
      </w:pPr>
      <w:r>
        <w:t>Erwägungen</w:t>
      </w:r>
    </w:p>
    <w:p>
      <w:r>
        <w:rPr>
          <w:b/>
        </w:rPr>
        <w:t>E. 1.1</w:t>
      </w:r>
    </w:p>
    <w:p>
      <w:r>
        <w:t>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rPr>
          <w:b/>
        </w:rPr>
        <w:t>E. 1.2</w:t>
      </w:r>
    </w:p>
    <w:p>
      <w:r>
        <w:t>Aux termes de l’art. 382 al. 1 CPP, toute partie qui a un intérêt juridiquement protégé à l’annulation ou à la modification d’une décision a qualité pour recourir contre celle-ci. Selon cette disposition, le recourant n’est au bénéfice d’un intérêt juridiquement protégé que s’il est atteint, c’est-à-dire lésé, dans ses droits par la décision attaquée (Calame, in: Kuhn/Jeanneret [éd.], Commentaire romand, Code de procédure pénale suisse, Bâle 2011, n. 2 ad art. 382 CPP). La qualité pour recourir suppose donc un intérêt actuel et pratique à obtenir l’annulation de la décision entreprise (TF 1B_111/2010 du 7 mai 2010 consid. 1 et arrêts cités ; Calame, op. cit., n. 1 ad art. 382 CPP). L'intérêt digne de protection du recourant peut exceptionnellement être admis abstraction faite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et la jurisprudence citée ; TF 1C_9/2012 du 7 mai 2012 consid. 1.2).</w:t>
      </w:r>
    </w:p>
    <w:p>
      <w:r>
        <w:rPr>
          <w:b/>
        </w:rPr>
        <w:t>E. 1.3</w:t>
      </w:r>
    </w:p>
    <w:p>
      <w:r>
        <w:t>En l'espèce, le recourant a été libéré définitivement le 10 novembre 2015. Il n'a dès lors plus d'intérêt actuel et pratique à obtenir l’annulation de l'ordonnance attaquée, dans la mesure où il peut, depuis sa libération, exercer son activité professionnelle à sa guise. Au surplus, l’exercice d’éventuelles prétentions en responsabilité contre l’Etat, qui devraient être soulevées par voie d’action, ne nécessite nullement une constatation par la cour de céans, qui n’a d’ailleurs pas la compétence à cet égard.</w:t>
      </w:r>
    </w:p>
    <w:p>
      <w:r>
        <w:rPr>
          <w:b/>
        </w:rPr>
        <w:t>E. 2</w:t>
      </w:r>
    </w:p>
    <w:p>
      <w:r>
        <w:t>Sur le vu de ce qui précède, le recours doit être déclaré irrecevable. Les frais de la procédure, constitués du seul émolument d’arrêt, par 660 fr. (art. 20 al. 1 et 2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660 fr. (six cent soixante francs), sont mis à la charge la charge de D.________. III. Le présent arrêt est exécutoire. Le président :               La greffière : Du Le présent arrêt, dont la rédaction a été approuvée à huis clos, est notifié, par l'envoi d'une copie complète, à : - Me Sébastien Thüler, avocat (pour D.________), - Ministère public central, et communiqué à : - Office d'exécution des peines, - Direction de l'Etablissement du Simplon,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