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855 vom 17. November 2015</w:t>
      </w:r>
    </w:p>
    <w:p>
      <w:r>
        <w:t>VD Tribunal cantonal, 2015-11-17, FR</w:t>
      </w:r>
    </w:p>
    <w:p>
      <w:r>
        <w:rPr>
          <w:b/>
        </w:rPr>
        <w:t xml:space="preserve">Quelle: </w:t>
      </w:r>
      <w:r>
        <w:t>https://mcp.opencaselaw.ch/entscheid/vd_findinfo_D_cision___2015___855</w:t>
      </w:r>
    </w:p>
    <w:p>
      <w:r>
        <w:t>FR: VD_FINDINFO Décision / 2015 / 855 du 17 novembre 2015</w:t>
      </w:r>
    </w:p>
    <w:p>
      <w:r>
        <w:t>IT: VD_FINDINFO Décision / 2015 / 855 del 17 novembre 2015</w:t>
      </w:r>
    </w:p>
    <w:p>
      <w:pPr>
        <w:pStyle w:val="Heading2"/>
      </w:pPr>
      <w:r>
        <w:t>Regeste</w:t>
      </w:r>
    </w:p>
    <w:p>
      <w:r>
        <w:t>DEMANDE ADRESSÉE À L'AUTORITÉ, RÉCUSATION, DÉLAI | 58 CPP (CH)</w:t>
      </w:r>
    </w:p>
    <w:p>
      <w:pPr>
        <w:pStyle w:val="Heading2"/>
      </w:pPr>
      <w:r>
        <w:t>Erwägungen</w:t>
      </w:r>
    </w:p>
    <w:p>
      <w:r>
        <w:rPr>
          <w:b/>
        </w:rPr>
        <w:t>E. 1.1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Z.________ à l'encontre du Tribunal correctionnel de l’arrondissement de l’Est vaudois (art. 13 LVCPP [loi d’introduction du code de procédure pénale suisse; RSV 312.01]).</w:t>
      </w:r>
    </w:p>
    <w:p>
      <w:r>
        <w:rPr>
          <w:b/>
        </w:rPr>
        <w:t>E. 1.2</w:t>
      </w:r>
    </w:p>
    <w:p>
      <w:r>
        <w:t>La question de savoir si la requête de récusation a été déposée en temps utile doit être tranchée d'office avant tout examen des moyens invoqués.</w:t>
      </w:r>
    </w:p>
    <w:p>
      <w:r>
        <w:rPr>
          <w:b/>
        </w:rPr>
        <w:t>E. 1.2.1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Selon la jurisprudence, même si la loi ne prévoit aucun délai particulier, il y a lieu d’admettre que la récusation doit être formée aussitôt, c’est-à-dire dans les six à sept jours qui suivent la connaissance de la cause de récusation (TF 1B_308/2014 du 5 novembre 2015 consid. 2.2.1). La conséquence d’une demande tardive est l’irrecevabilité de la demande (CREP 19 novembre 2014/831 consid. 1.2 ; Verniory, in Kuhn/Jeanneret [éd.], Code de procédure pénale suisse, Commentaire romand, Bâle 2011, n. 8 ad art. 58 CPP).</w:t>
      </w:r>
    </w:p>
    <w:p>
      <w:r>
        <w:rPr>
          <w:b/>
        </w:rPr>
        <w:t>E. 1.2.2</w:t>
      </w:r>
    </w:p>
    <w:p>
      <w:r>
        <w:t>En l’espèce, le requérant fonde sa demande de récusation sur la manière dont se sont déroulés les précédentes procédures le concernant en 2006 et 2008. Il a en outre été cité à comparaître devant le Tribunal correctionnel de l’arrondissement de l’Est vaudois par avis du 11 septembre 2015, reçu le 14 septembre 2015. Si le requérant pensait pouvoir se prévaloir du déroulement des procès de 2006 et 2008 pour fonder une demander de récusation du Tribunal correctionnel de l’arrondissement de l’Est vaudois, il devait déposer sa requête au plus tard dans les jours qui ont suivi la réception de la citation à comparaître du 11 septembre 2015. Or, il a déposé sa demande de récusation près d’un mois plus tard, soit le 13 octobre 2015. La demande de récusation est dès lors tardive et doit être considérée comme irrecevable.</w:t>
      </w:r>
    </w:p>
    <w:p>
      <w:r>
        <w:rPr>
          <w:b/>
        </w:rPr>
        <w:t>E. 2</w:t>
      </w:r>
    </w:p>
    <w:p>
      <w:r>
        <w:t>En définitive, la demande tendant à la récusation du Tribunal correctionnel de l’arrondissement de l’Est vaudois est irrecevable. Les frais de procédure, constitués en l’espèce du seul émolument de décision, par 440 fr. (art. 20 al. 1 TFIP [Tarif des frais de procédure et indemnités en matière pénale du 28 septembre 2010; RSV 312.03.1]), seront mis à la charge du requérant, qui succombe (art. 59 al. 4 CPP). Par ces motifs, la Chambre des recours pénale prononce : I. La demande de récusation présentée le 13 octobre 2015 par Z.________ à l’encontre du Tribunal correctionnel d’arrondissement de l’Est vaudois est irrecevable. II. Les frais de la présente procédure, par 440 fr. (quatre cent quarante francs), sont mis à la charge du requérant. III. La présente décision est exécutoire. Le président :               La greffière : Du La présente décision, dont la rédaction a été approuvée à huis clos, est notifiée, par l'envoi d'une copie complète, à : - Me Alain Vuithier, avocat (pour Z.________), - Ministère public central, et communiquée à : ‑ Mme la Présidente du Tribunal de l’arrondissement de l’Est vaudois, - M. le Procureur du Ministère public central,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