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854 vom 20. November 2015</w:t>
      </w:r>
    </w:p>
    <w:p>
      <w:r>
        <w:t>VD Tribunal cantonal, 2015-11-20, FR</w:t>
      </w:r>
    </w:p>
    <w:p>
      <w:r>
        <w:rPr>
          <w:b/>
        </w:rPr>
        <w:t xml:space="preserve">Quelle: </w:t>
      </w:r>
      <w:r>
        <w:t>https://mcp.opencaselaw.ch/entscheid/vd_findinfo_D_cision___2015___854</w:t>
      </w:r>
    </w:p>
    <w:p>
      <w:r>
        <w:t>FR: VD_FINDINFO Décision / 2015 / 854 du 20 novembre 2015</w:t>
      </w:r>
    </w:p>
    <w:p>
      <w:r>
        <w:t>IT: VD_FINDINFO Décision / 2015 / 854 del 20 novembre 2015</w:t>
      </w:r>
    </w:p>
    <w:p>
      <w:pPr>
        <w:pStyle w:val="Heading2"/>
      </w:pPr>
      <w:r>
        <w:t>Regeste</w:t>
      </w:r>
    </w:p>
    <w:p>
      <w:r>
        <w:t>DÉFENSE D'OFFICE, INDEMNITÉ{EN GÉNÉRAL}, DROIT D'ÊTRE ENTENDU, MOTIVATION DE LA DÉCISION | 29 al. 2 Cst., 135 al. 3 let. a CPP (CH)</w:t>
      </w:r>
    </w:p>
    <w:p>
      <w:pPr>
        <w:pStyle w:val="Heading2"/>
      </w:pPr>
      <w:r>
        <w:t>Erwägungen</w:t>
      </w:r>
    </w:p>
    <w:p>
      <w:r>
        <w:rPr>
          <w:b/>
        </w:rPr>
        <w:t>E. 1</w:t>
      </w:r>
    </w:p>
    <w:p>
      <w:r>
        <w:t>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139 IV 199 c.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 Lorsque, comme en l’espèce, le recours porte uniquement sur les conséquences économiques accessoires d'une décision et que le montant litigieux ne dépasse pas 5'000 fr., un juge de la Cour de céans statue comme juge unique (art. 395 let. b CPP et 13 al. 2 LVCPP). En l'espèce, interjeté dans le délai légal auprès de l’autorité compétente par le défenseur d'office et satisfaisant aux conditions de forme posées par l’art. 385 al. 1 CPP, le recours est recevable.</w:t>
      </w:r>
    </w:p>
    <w:p>
      <w:r>
        <w:rPr>
          <w:b/>
        </w:rPr>
        <w:t>E. 2</w:t>
      </w:r>
    </w:p>
    <w:p>
      <w:r>
        <w:t>al. 1 RAJ [Règlement du</w:t>
      </w:r>
    </w:p>
    <w:p>
      <w:r>
        <w:rPr>
          <w:b/>
        </w:rPr>
        <w:t>E. 2.1</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 110 fr. (cf. art.</w:t>
      </w:r>
    </w:p>
    <w:p>
      <w:r>
        <w:rPr>
          <w:b/>
        </w:rPr>
        <w:t>E. 2.2</w:t>
      </w:r>
    </w:p>
    <w:p>
      <w:r>
        <w:t>En l'espèce, si le jugement ne comporte pas, dans le texte, de motivation écrite, il ressort des annotations sur la liste des opérations du 20 octobre 2015 que le Tribunal de police a considéré que l'indemnité d'office de la recourante devait être fixée en tenant compte de 8h13 au tarif de 180 fr. de l’heure, 15h33 au tarif de 110 fr. de l’heure de travail, et des débours arrêtés en équité à 317 fr. 95, vacations comprises, plus la TVA. Le montant de 4'201 fr. 15 réclamé par la recourante (cf. acte de recours, ch. 3 in fine ) correspond au montant de la liste des opérations produite à l’issue de l’audience du 20 octobre 2015, majoré de 1h45 en raison de la durée des débats qui avait été sous-évaluée. La recourante soutient en substance n’avoir procédé, avec son stagiaire, qu’à des opérations justifiées par son mandat, aussi bien quant au principe que quant au temps consacré.</w:t>
      </w:r>
    </w:p>
    <w:p>
      <w:r>
        <w:rPr>
          <w:b/>
        </w:rPr>
        <w:t>E. 2.3</w:t>
      </w:r>
    </w:p>
    <w:p>
      <w:r>
        <w:t>Il y a lieu de procéder à un examen détaillé de la liste des opérations produites. S’agissant des opérations effectuées par Me K.________, elles ont été validées et comptabilisées dans leur ensemble par le premier juge, qui a également alloué l’entier des débours annoncés. S’agissant en revanche des opérations effectuées par l’avocat-stagiaire, et particulièrement celles relatives à la préparation de l’audience de jugement, sont annoncées 1h00 d’étude du dossier (2 septembre 2015), 3h00 de recherches juridiques et préparation audience (29 septembre 2015), 4h00 de rédaction de plaidoirie (7 octobre 2015) et encore 1h30 de préparation audience (19 octobre 2015), soit 09h30 au total. Pour une affaire assez simple de la compétence d’un Tribunal de police pour laquelle le Ministère public avait requis 60 jours-amende avec sursis sans révocation du sursis antérieur, ce nombre d’heures apparaît disproportionné. Pour s’inscrire raisonnablement dans le cadre de l’accomplissement de la tâche du défenseur, il sera ainsi arrêté à 4h00, ce qui implique une déduction de 5h30. La recourante relève à juste titre que le temps d’audience estimé dans sa liste d’opérations est de 3h00, alors que celle-ci a en réalité duré 4h4 5 ; il faut donc ajouter sur ce poste 1h45. Au vu de ce qui précède, le montant total de l’indemnité à allouer s’élève à : - 08h13 à 180 fr. de l’heure, soit 1'479 fr.; - 12h45 à 110 fr. de l’heure, soit 1'402 fr. 50 (au lieu de 16h33 à 110 fr. de l’heure); - des débours pour 317 fr. 95; soit un total de 3'455 fr. 40, TVA comprise. Partant, le montant de 3'507 fr. 45 alloué à Me K.________ par les premiers juges ne prête pas le flanc à la critique et doit être confirmé. 3. En définitive, le recours, manifestement mal fondé, doit être rejeté sans autre échange d’écritures (art. 390 al. 2 CPP) et le jugement attaqué confirmé en tant qu’il fixe à 3'507 fr. 45 l’indemnité due à Me K.________ en sa qualité de défenseur d’office de H.________. Les frais de la procédure de recours, constitués en l'espèce du seul l'émolument d’arrêt, par 540 fr. (art. 20 al. 1 TFIP  [Tarif des frais de procédure et indemnités en matière pénale du 28 septembre 2010; RSV 312.03.1) seront mis à la charge de la recourante, qui succombe (art. 428 al. 1 CPP). Par ces motifs, la Chambre des recours pénale prononce : I. Le recours est rejeté. II. Le jugement du 20 octobre 2015 est confirmé en tant qu’il fixe à 3'507 fr. 45 l’indemnité due à Me K.________ en sa qualité de défenseur d’office de H.________. III. Les frais d’arrêt, par 540 fr. (cinq cent quarante francs), sont mis à la charge de Me K.________. IV. Le présent arrêt est exécutoire. Le président :               La greffière : Du Le présent arrêt, dont la rédaction a été approuvée à huis clos, est notifié, par l'envoi d'une copie complète, à : - Me K.________, avocate, - Ministère public central,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7</w:t>
      </w:r>
    </w:p>
    <w:p>
      <w:r>
        <w:t>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