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 vom 28. Oktober 2014</w:t>
      </w:r>
    </w:p>
    <w:p>
      <w:r>
        <w:t>VD Tribunal cantonal, 2014-10-28, FR</w:t>
      </w:r>
    </w:p>
    <w:p>
      <w:r>
        <w:rPr>
          <w:b/>
        </w:rPr>
        <w:t xml:space="preserve">Quelle: </w:t>
      </w:r>
      <w:r>
        <w:t>https://mcp.opencaselaw.ch/entscheid/vd_findinfo_D_cision___2015___85</w:t>
      </w:r>
    </w:p>
    <w:p>
      <w:r>
        <w:t>FR: VD_FINDINFO Décision / 2015 / 85 du 28 octobre 2014</w:t>
      </w:r>
    </w:p>
    <w:p>
      <w:r>
        <w:t>IT: VD_FINDINFO Décision / 2015 / 85 del 28 ottobre 2014</w:t>
      </w:r>
    </w:p>
    <w:p>
      <w:pPr>
        <w:pStyle w:val="Heading2"/>
      </w:pPr>
      <w:r>
        <w:t>Regeste</w:t>
      </w:r>
    </w:p>
    <w:p>
      <w:r>
        <w:t>ESCROQUERIE, FAUX MATÉRIEL DANS LES TITRES, CLASSEMENT DE LA PROCÉDURE | 146 CP, 251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Y.________, partie plaignante qui a qualité pour recourir (cf. art. 382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Le Tribunal fédéral a précisé que, de manière générale, les motifs de classement sont ceux "qui déboucheraient à coup sûr ou du moins très probablement sur un acquittement ou une décision similaire de l'autorité de jugement" (Message du Conseil fédéral 21 décembre 2005 relatif à l'unification du droit de la procédure pénale, FF 2006 p.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(ATF 137 IV 219; ATF 138 IV 86 c. 4.1.1; ATF 138 IV 186).</w:t>
      </w:r>
    </w:p>
    <w:p>
      <w:r>
        <w:rPr>
          <w:b/>
        </w:rPr>
        <w:t>E. 2.2</w:t>
      </w:r>
    </w:p>
    <w:p>
      <w:r>
        <w:t>Y.________ conteste le classement prononcé par le procureur, faisant valoir que U.________ aurait produit un lot de pièces falsifiées, voire confectionnées de toute pièce, pour attester de diverses livraisons qu'il lui aurait faites et ainsi tromper le juge dans le cadre de la réclamation pécuniaire ouverte devant la justice civile (cf. P. 74 du procès civil, produite sous P. 16). En l'occurrence, l'examen des diverses pièces figurant au dossier peut donner lieu à interprétation et la comparaison entre les pièces produites à l'époque dans le procès civil, selon les photocopies figurant à l'appui de la plainte (P. 4) et les originaux produits devant le Ministère public (P. 16), reste difficile à établir. C'est toutefois à la justice civile qu'il appartenait d'examiner ces questions et de trancher la portée qu'il fallait accorder à ces pièces. C'est précisément ce qu'elle a fait par jugement rendu le 25 janvier 2011 par la Présidente du Tribunal civil de l'arrondissement de La Broye et du Nord vaudois, après une instruction minutieuse et fouillée, en retenant clairement que les produits litigieux avaient été commandés et livrés à Y.________ et que leur prix en était dès lors exigible. Il n'appartient pas à la justice pénale, alors que le jugement civil est aujourd'hui définitif et exécutoire, de refaire cette procédure ni de s'assurer que les pièces figurant au dossier ont donné lieu à une comptabilisation correcte. Pour que le classement prononcé par le procureur soit annulé, il faudrait que l'examen de ces documents révèle l'existence d'indices d'une volonté délibérée de tromperie (art. 146 CP) et de falsification (art. 251 CP). Or, au vu des documents, rien de tel n'apparaît. Le procureur a vérifié l'affectation du montant de 4'275 fr. 80 dont le plaignant s'était acquitté le 17 décembre 2007, ainsi que les factures qui avaient fait l'objet de la réclamation civile, sans déceler aucun indice de falsification. Le classement apparaît dès lors justifié.</w:t>
      </w:r>
    </w:p>
    <w:p>
      <w:r>
        <w:rPr>
          <w:b/>
        </w:rPr>
        <w:t>E. 3</w:t>
      </w:r>
    </w:p>
    <w:p>
      <w:r>
        <w:t>Au vu de ce qui précède,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29 août 2014 est confirmée. III. Les frais d'arrêt, par 550 fr. (cinq cent cinquante francs), sont mis à la charge de Y.________. IV. Le présent arrêt est exécutoire. Le président :               La greffière : Du Le présent arrêt, dont la rédaction a été approuvée à huis clos, est notifié, par l'envoi d'une copie complète, à : - M. Aba Neeman, avocat (pour Y.________), - M. Cédric Thaler, avocat (pour U.________),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