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846 vom 17. November 2015</w:t>
      </w:r>
    </w:p>
    <w:p>
      <w:r>
        <w:t>VD Tribunal cantonal, 2015-11-17, FR</w:t>
      </w:r>
    </w:p>
    <w:p>
      <w:r>
        <w:rPr>
          <w:b/>
        </w:rPr>
        <w:t xml:space="preserve">Quelle: </w:t>
      </w:r>
      <w:r>
        <w:t>https://mcp.opencaselaw.ch/entscheid/vd_findinfo_D_cision___2015___846</w:t>
      </w:r>
    </w:p>
    <w:p>
      <w:r>
        <w:t>FR: VD_FINDINFO Décision / 2015 / 846 du 17 novembre 2015</w:t>
      </w:r>
    </w:p>
    <w:p>
      <w:r>
        <w:t>IT: VD_FINDINFO Décision / 2015 / 846 del 17 novembre 2015</w:t>
      </w:r>
    </w:p>
    <w:p>
      <w:pPr>
        <w:pStyle w:val="Heading2"/>
      </w:pPr>
      <w:r>
        <w:t>Regeste</w:t>
      </w:r>
    </w:p>
    <w:p>
      <w:r>
        <w:t>EXÉCUTION ANTICIPÉE DES PEINES ET DES MESURES, RISQUE DE COLLUSION, RISQUE DE RÉCIDIVE | 236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w:t>
      </w:r>
    </w:p>
    <w:p>
      <w:r>
        <w:rPr>
          <w:b/>
        </w:rPr>
        <w:t>E. 2</w:t>
      </w:r>
    </w:p>
    <w:p>
      <w:r>
        <w:t>e éd., Bâle 2014, n. 10 ad art. 393 CPP; Hug, in : Donatsch/Hansjakob/Lieber [éd.], Kommentar zur Schweizerischen Strafprozessordnung, 2 e éd., 2014, n. 17 ad art. 236 CPP; CREP 12 novembre 2015/733 ; CREP 30 janvier 2013/34;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satisfait aux conditions de forme posées par l’art. 385 al. 1 CPP.</w:t>
      </w:r>
    </w:p>
    <w:p>
      <w:r>
        <w:rPr>
          <w:b/>
        </w:rPr>
        <w:t>E. 2.1</w:t>
      </w:r>
    </w:p>
    <w:p>
      <w:r>
        <w:t>Aux termes de l’art. 236 CPP, la direction de la procédure peut autoriser le prévenu à exécuter de manière anticipée une peine privative de liberté ou une mesure entraînant une privation de liberté si le stade de la procédure le permet (al. 1). Si l’accusation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L’exécution anticipée des peines et des mesures est, de par sa nature, une mesure de contrainte qui se classe à la limite entre la poursuite pénale et l’exécution de la peine. Elle doit permettre d’offrir au prévenu de meilleures chances de resocialisation dans le cadre de l’exécution de la peine avant même que le jugement n’entre en force (TF 1B_426/2012 du 3 août 2012 consid. 2.1; TF 1B_90/2012 du 21 mars 2012 consid. 2.2; TF 1B_18/2012 du 27 janvier 2012 consid. 2; ATF 133 IV 270 consid. 3.2.1 p. 177, JdT 2011 IV 3, spéc. p. 9). La poursuite de la détention sous la forme de l’exécution anticipée de la peine suppose l’existence d’un motif de détention provisoire particulier, comme le risque de collusion ou le risque de fuite (TF 1B_90/2012 précité; ATF 117 Ia 72; Robert-Nicoud, in : Kuhn/Jeanneret [éd.], Commentaire romand, Code de procédure pénale suisse, Bâle 2011, n. 4 ad art. 236 CPP). L’art. 236 al. 1 CP fait dépendre l’autorisation d’exécution de peine de manière anticipée du stade auquel se trouve la procédure. Par « stade de la procédure » permettant une telle exécution, il faut comprendre le moment à partir duquel la présence du prévenu n’est plus immédiatement nécessaire à l’administration de la preuve (Robert-Nicoud, op. cit., n. 4 ad art. 236 CPP; Hug, in : Donatsch/Hansjakob/Lieber [éd.], op. cit.,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in : Niggli/Heer/Wiprächtiger [éd.], op. cit., n. 13 ad art. 236 CPP et les références citées).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manœuvres de collusion aussi efficacement que le cadre de la détention préventive. L’exécution anticipée de la peine doit ainsi être refusée lorsqu’un risque élevé de collusion demeure de sorte que le but de la détention et les besoins de l’instruction seraient compromis (cf. ATF 133 I 270 consid. 3.2.1 p. 278 ; arrêt 1B_90/2012 du 21 mars 2012 consid. 2.2 et les arrêts cités ; TF 1B_415/2012 du 25 juillet 2012 ; 1B_426/2012 du 3 août 2012). Ainsi, l’autorisation d’exécuter une peine de manière anticipée ne saurait être refusée in abstracto en raison du risque de collusion. Bien plutôt, selon le Tribunal fédéral (TF 1B_ 90/2012 du 21 mars 2012, consid. 2.2), l’autorité doit, d’une part, étayer ce risque par des faits concrets et précis et, d’autre part, examiner si le régime de la détention, même restreint en application de l’art. 236 al. 4 CPP – par exemple en ce qui concerne les visites (art. 235 al. 2 CPP), du contrôle du courrier et du téléphone (art. 235 al.</w:t>
      </w:r>
    </w:p>
    <w:p>
      <w:r>
        <w:rPr>
          <w:b/>
        </w:rPr>
        <w:t>E. 2.2</w:t>
      </w:r>
    </w:p>
    <w:p>
      <w:r>
        <w:t>En l’espèce, il est vrai que le recourant n’a admis que partiellement les faits. S’il admet en substance avoir « arnaqué » financièrement plusieurs filles, il se défend d’avoir porté atteinte à leur intégrité physique et sexuelle, de les avoir décidées à avoir des pratiques sexuelles qu’elles ne souhaitaient pas, et de les avoir menacées (cf. PV aud. 6, 26 et 28). A cet égard, il réfute en particulier les accusations de C.________, de E.________ et de B.________ (PV aud. 26, p. 2). Le fait que l’intéressé conteste une partie des faits ne constitue toutefois pas un obstacle à une exécution anticipée de peine (TF 1B_90/2012 du 21 mars 2012 consid. 2). Il en va de même du comportement du recourant en détention, lequel, comme l’a relevé la procureure, n’est de loin pas exemplaire (cf. P. 130, 131 et 135). En effet, la loi n’exige pas que l’intéressé se conduise en prison de façon irréprochable. Par ailleurs, le Ministère public a adressé, le 21 juillet 2015, un avis de prochaine clôture aux parties. C’est dire qu’il n’envisage pas d’autres mesures d’instruction, sous réserve du mandat d’expertise psychiatrique délivré le 15 octobre 2015, dont l’accomplissement ne sera toutefois pas entravé par le passage du recourant en exécution anticipée de peine. Il s’ensuit que la présence du recourant en détention provisoire n’est plus immédiatement nécessaire à l’administration des preuves. Ainsi, à ce stade, seul un risque élevé de collusion serait susceptible de faire obstacle à une exécution anticipée de peine, ce mode d’exécution étant par ailleurs suffisant pour parer aux risques de récidive et de passage à l’acte également retenus par la procureure. A cet égard, il ressort du dossier qu’une lettre qui comporte des menaces contre un certain [...] a été découverte dans la cellule du recourant (P. 139/2). Le recourant a indiqué, lors de son interrogatoire du 15 septembre 2015, qu’il allait l’insulter « méchamment » quand il le verrait (PV aud. 29, p. 2). Lors d’un téléphone à sa mère, il a qualifié certaines victimes de « connasses » (PV aud. 26, ligne 57, p. 2 et P. 91). Le 8 juillet 2015, lors d’une autre conversation téléphonique avec sa mère, il a dit qu’il s’occuperait de C.________ (cf. PV aud. 28, p. 3). Lors de l’interrogatoire du 17 juillet 2015, il a déclaré qu’il irait s’expliquer avec elle et a qualifié ses dépositions de « conneries » (PV aud. 28, p. 3). Enfin, il est établi que le recourant a fait état, auprès de tiers, d’éléments de l’instruction en cours (P. 39, 40 et 44). On peut dès lors admettre l’existence d’un risque de voir le recourant tenter d’interférer auprès des victimes pour obtenir des dépositions en sa faveur, comme le relève la procureure. Ce risque n’est toutefois pas élevé au point qu’il justifie le refus pur et simple de la demande d’exécution anticipée. En particulier, il n’est pas établi que le recourant soit entré en contact avec des victimes ni même qu’il ait cherché à le faire directement ou indirectement. Il pourra de toute manière être paré efficacement au risque de collusion, pour autant que le recourant exécute sa peine en section fermée, qu’il ne puisse pas avoir de contacts avec des détenus bénéficiant de visites ou d’entretiens téléphoniques ou de correspondances non surveillés, d’un régime de travail externe ou de congés, et que le contrôle de sa correspondance, de ses entretiens téléphoniques et de ses visites soient maintenus dans une mesure identique à celle de la détention provisoire (art. 236 al. 4 CPP ; CREP 8 mars 2013/157 consid. 2c).</w:t>
      </w:r>
    </w:p>
    <w:p>
      <w:r>
        <w:rPr>
          <w:b/>
        </w:rPr>
        <w:t>E. 3</w:t>
      </w:r>
    </w:p>
    <w:p>
      <w:r>
        <w:t>Il résulte de ce qui précède que le recours doit être partiellement admis et l’ordonnance 21 octobre 2015 réformée dans le sens du considérant 2.2 ci-dessus.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540 fr., plus la TVA, par 43 fr. 20, soit 583 fr. 20, seront laissés à la charge de l’Etat (art. 423 CPP). Par ces motifs, la Chambre des recours pénale prononce : I. Le recours est partiellement admis. II. L’ordonnance du 21 octobre 2015 est réformée en ce sens que Q.________ est autorisé à exécuter sa peine de manière anticipée dans la mesure des disponibilités des établissements idoines, pour autant que les conditions suivantes soient réalisées : a) exécution de la détention en section fermée; b) prévention de tout contact entre le prévenu et les détenus bénéficiant de visites ou d'entretiens téléphoniques ou de correspondances non surveillés, d'un travail externe ou de congés; c) maintien du contrôle de la correspondance, des entretiens téléphoniques et des visites de Q.________ dans une mesure identique à celle de la détention provisoire. III. Le Ministère public de l’arrondissement de Lausanne est chargé de pourvoir à l’exécution du transfert de Q.________ en exécution anticipée de peine aux conditions mentionnées ci-dessus. IV. L’indemnité allouée au défenseur d’office de Q.________ est fixée à 583 fr. 20 (cinq cent huitante-trois francs et vingt centimes). V. Les frais d’arrêt, par 880 fr. (huit cent huitante francs), ainsi que l’indemnité due au défenseur d’office de Q.________, par 583 fr. 20 (cinq cent huitante-trois francs et vingt centimes), sont laissés à la charge de l’Etat. VI. Le présent arrêt est exécutoire. Le président :               Le greffier : Du Le présent arrêt, dont la rédaction a été approuvée à huis clos, est notifié, par l'envoi d'une copie complète, à : - Mme Roxanne Mingard, avocate (pour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