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845 vom 17. November 2015</w:t>
      </w:r>
    </w:p>
    <w:p>
      <w:r>
        <w:t>VD Tribunal cantonal, 2015-11-17, FR</w:t>
      </w:r>
    </w:p>
    <w:p>
      <w:r>
        <w:rPr>
          <w:b/>
        </w:rPr>
        <w:t xml:space="preserve">Quelle: </w:t>
      </w:r>
      <w:r>
        <w:t>https://mcp.opencaselaw.ch/entscheid/vd_findinfo_D_cision___2015___845</w:t>
      </w:r>
    </w:p>
    <w:p>
      <w:r>
        <w:t>FR: VD_FINDINFO Décision / 2015 / 845 du 17 novembre 2015</w:t>
      </w:r>
    </w:p>
    <w:p>
      <w:r>
        <w:t>IT: VD_FINDINFO Décision / 2015 / 845 del 17 novembre 2015</w:t>
      </w:r>
    </w:p>
    <w:p>
      <w:pPr>
        <w:pStyle w:val="Heading2"/>
      </w:pPr>
      <w:r>
        <w:t>Regeste</w:t>
      </w:r>
    </w:p>
    <w:p>
      <w:r>
        <w:t>DÉTENTION PROVISOIRE, RISQUE DE RÉCIDIVE | 221 al. 1 let. c CPP (CH), 221 al. 2 CPP (CH), 228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 recourant ne conteste pas, à raison, l'existence de soupçons suffisants de culpabilité justifiant sa mise en détention provisoire.</w:t>
      </w:r>
    </w:p>
    <w:p>
      <w:r>
        <w:rPr>
          <w:b/>
        </w:rPr>
        <w:t>E. 3.1</w:t>
      </w:r>
    </w:p>
    <w:p>
      <w:r>
        <w:t>Le recourant soutient que le Tribunal des mesures de contrainte aurait fait une appréciation incorrecte du risque de réitération. En substance, il allègue que quand bien même il aurait eu des contacts avec des jeunes filles rencontrées au manège équestre et fait état de fantasmes sur des forums sur des sites Internet, il n'y aurait aucun élément démontrant qu'il présente un risque de passage à l'acte s'agissant d'actes d'ordre sexuel.</w:t>
      </w:r>
    </w:p>
    <w:p>
      <w:r>
        <w:rPr>
          <w:b/>
        </w:rPr>
        <w:t>E. 3.2.1</w:t>
      </w:r>
    </w:p>
    <w:p>
      <w:r>
        <w:t>Le maintien en détention ne peut se justifier en raison d’un risque de réitération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consid. 4.5 ; TF 1B_731/2011 du 16 janvier 2012 consid. 3.1).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Commentaire romand, Code de procédure pénale suisse, Bâle 2011,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consid. 2e).</w:t>
      </w:r>
    </w:p>
    <w:p>
      <w:r>
        <w:rPr>
          <w:b/>
        </w:rPr>
        <w:t>E. 3.2.2</w:t>
      </w:r>
    </w:p>
    <w:p>
      <w:r>
        <w:t>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consid. 5.2, JdT 2012 IV 79). Dans ce cas, la condition du grave soupçon est inopérante et doit être remplacée par un risque concret de passage à l'acte (Message du Conseil fédéral relatif à l'unification du droit de la procédure pénale du 21 décembre 2005, FF 2006 pp. 1057 ss, spéc. p. 1211 ;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consid. 2.1.1 ; ATF 137 IV 122 consid. 5.2, JdT 2012 IV 79 ; Schmocker, op. cit., n. 22 ad art. 221 CPP et les références citées). En particulier en cas de menace de crime de violence, il y a lieu de prendre en compte l’état psychique de la personne soupçonnée, respectivement son imprévisibilité ou son agressivité (ATF 140 IV 19 consid. 2.1.1 ; ATF 137 IV 122 consid. 5.2, JdT 2012 IV 79). Plus l’acte délictueux dont on craint la commission est grave, plus une mise en détention se justifie si les faits à disposition ne permettent pas d’estimation précise du risque de passage à l’acte (ATF 140 IV 19 consid. 2.1.1 et les références citées).</w:t>
      </w:r>
    </w:p>
    <w:p>
      <w:r>
        <w:rPr>
          <w:b/>
        </w:rPr>
        <w:t>E. 3.3</w:t>
      </w:r>
    </w:p>
    <w:p>
      <w:r>
        <w:t>En l'espèce, il est constant et non contesté que T.________ présente un risque de réitération s'agissant des faits graves qui lui sont reprochés, à savoir le téléchargement de fichiers de type pédopornographique, au regard notamment des condamnations figurant à son casier judiciaire et des conclusions de l'expertise psychiatrique. C’est un premier motif pour confirmer la détention au vu de ses antécédents. S'agissant du risque de passage à l'acte, même si, comme le relève l'expert dans son rapport du 30 septembre 2015, il y a lieu de faire une distinction entre la verbalisation d'un fantasme avec un internaute inconnu et une concrétisation de ce fantasme par un passage à l'acte impliquant des jeunes filles dans la réalité, il n'en demeure pas moins que le recourant a eu des conversations très tendancieuses, pouvant aisément être interprétées comme ayant un caractère sexuel, avec les jeunes filles rencontrées au manège équestre. Il ne s'agit là pas de se procurer des fichiers ou de converser avec des inconnus par le biais de son ordinateur, mais bien d'échanger de réels messages avec des préadolescentes qu'il côtoyait régulièrement. Le fait que les messages litigieux datent d'il y a environ trois ans et qu'ils aient été échangés à une période déterminée n'y change rien. Il y a encore lieu de relever que l'expert psychiatre a posé le diagnostic de pédophilie, confirmant par ailleurs le diagnostic posé lors de la précédente expertise. Il a également affirmé qu'un passage à l'acte ne pouvait être exclu, à plus forte raison si aucune mesure n’était prise. Dès lors, le pronostic étant très défavorable, il est légitime de redouter que le recourant, s'il était libéré, puisse, comme l'a relevé le Tribunal des mesures de contrainte, franchir la barrière du fantasme et ainsi mettre en péril la sécurité publique. Compte tenu de ce qui précède, les risques de réitération et de passage à l'acte que présentent T.________ s'opposent à sa libération de la détention provisoire.</w:t>
      </w:r>
    </w:p>
    <w:p>
      <w:r>
        <w:rPr>
          <w:b/>
        </w:rPr>
        <w:t>E. 4.1</w:t>
      </w:r>
    </w:p>
    <w:p>
      <w:r>
        <w:t>Le recourant fait valoir que le Tribunal des mesures de contrainte aurait violé le principe de proportionnalité, en soutenant que la mise en œuvre de mesures de substitution propres à prévenir le risque de réitération de téléchargement de fichiers pédopornographiques serait possible. En substance, il expose qu'il conviendrait de lui interdire de détenir ou d'utiliser tout support informatique permettant l'accès à Internet et d'ordonner des vérifications et des contrôles à son domicile et sur son lieu de travail. Le prévenu soutient également que la détention préventive se fondant sur un risque de passage à l’acte serait disproportionnée, estimant notamment que ce risque ne peut en aucun cas être qualifié d’élevé.</w:t>
      </w:r>
    </w:p>
    <w:p>
      <w:r>
        <w:rPr>
          <w:b/>
        </w:rPr>
        <w:t>E. 4.2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4.3</w:t>
      </w:r>
    </w:p>
    <w:p>
      <w:r>
        <w:t>En l'espèce, les mesures de substitution proposées paraissent pratiquement irréalisables tant les possibilités d'accès à Internet sont multiples, comme l'a déjà relevé le Tribunal des mesures de contrainte. De surcroît, outre les difficultés techniques et les moyens qu'il faudrait avoir pour surveiller tous les supports informatiques pouvant être utilisés par T.________, il convient de tenir compte du fait que ce dernier est ingénieur et travaille dans le domaine de l'informatique. Il pourrait dès lors aisément contrecarrer les mesures sollicitées s’il le souhaitait. A cela s'ajoute que l'expert propose que le recourant soit soumis à un traitement institutionnel en milieu fermé, afin de réduire à néant tout risque de récidive, lequel est qualifié d'élevé. En dernier lieu, il faut également rappeler que la Cour de céans a retenu, en plus de l'existence d'un risque de réitération, un risque de passage à l'acte, ce qu'aucune des mesures de substitution concernées n'est à même de pallier. Au vu de ces éléments, aucune mesure de substitution ne présente des garanties suffisantes pour prévenir les risques retenus, de sorte que le maintien en détention provisoire de T.________ est justifié.</w:t>
      </w:r>
    </w:p>
    <w:p>
      <w:r>
        <w:rPr>
          <w:b/>
        </w:rPr>
        <w:t>E. 4.4</w:t>
      </w:r>
    </w:p>
    <w:p>
      <w:r>
        <w:t>Pour le surplus, s'agissant des arguments invoqués en lien avec le risque de passage à l’acte par le recourant, ceux-ci ne sont pas convaincants. En effet, pour ce qui concerne en particulier un éventuel effet de prévention spéciale lié à la détention provisoire subie, la Cour de céans se bornera à rappeler que ni l’exécution par T.________ d’une peine privative de liberté sous le régime de la semi-détention de longue durée ni la menace de voir sa libération conditionnelle révoquée ne l'ont empêché de commettre de nouveaux délits identiques. Pour le reste, on se réfère aux considérants précédents du présent arrêt et aux éléments retenus par le Tribunal des mesures de contrainte.</w:t>
      </w:r>
    </w:p>
    <w:p>
      <w:r>
        <w:rPr>
          <w:b/>
        </w:rPr>
        <w:t>E. 4.5</w:t>
      </w:r>
    </w:p>
    <w:p>
      <w:r>
        <w:t>Compte tenu de la gravité des faits qui sont reprochés au recourant, la détention provisoire demeure proportionnée au regard de la peine qui est susceptible d’être prononcée en cas de condamnation. Le principe de la proportionnalité est ainsi également respecté sous l’angle de l’art. 212 al. 3 CPP.</w:t>
      </w:r>
    </w:p>
    <w:p>
      <w:r>
        <w:rPr>
          <w:b/>
        </w:rPr>
        <w:t>E. 5</w:t>
      </w:r>
    </w:p>
    <w:p>
      <w:r>
        <w:t>Il résulte de ce qui précède que le recours, manifestement mal fondé, doit être rejeté sans autre échange d’écritures (art. 390 al. 2 CPP) et l'ordonnance du 2 novembre 2015 confirmée. Les frais de la procédure de recours, constitués en l’espèce du seul 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 novembre 2015 est confirmée. III. Les frais du présent arrêt, par 990 fr. (neuf cent nonante francs), sont mis à la charge de T.________. IV. Le présent arrêt est exécutoire. Le président :               Le greffier : Du Le présent arrêt, dont la rédaction a été approuvée à huis clos, est notifié, par l'envoi d'une copie complète, à : - M. Ludovic Tirelli (pour T.________), - Ministère public central, et communiqué à : - M. le Président du Tribunal des mesures de contrainte,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