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843 vom 5. November 2015</w:t>
      </w:r>
    </w:p>
    <w:p>
      <w:r>
        <w:t>VD Tribunal cantonal, 2015-11-05, FR</w:t>
      </w:r>
    </w:p>
    <w:p>
      <w:r>
        <w:rPr>
          <w:b/>
        </w:rPr>
        <w:t xml:space="preserve">Quelle: </w:t>
      </w:r>
      <w:r>
        <w:t>https://mcp.opencaselaw.ch/entscheid/vd_findinfo_D_cision___2015___843</w:t>
      </w:r>
    </w:p>
    <w:p>
      <w:r>
        <w:t>FR: VD_FINDINFO Décision / 2015 / 843 du 5 novembre 2015</w:t>
      </w:r>
    </w:p>
    <w:p>
      <w:r>
        <w:t>IT: VD_FINDINFO Décision / 2015 / 843 del 5 novembre 2015</w:t>
      </w:r>
    </w:p>
    <w:p>
      <w:pPr>
        <w:pStyle w:val="Heading2"/>
      </w:pPr>
      <w:r>
        <w:t>Regeste</w:t>
      </w:r>
    </w:p>
    <w:p>
      <w:r>
        <w:t>RÉCUSATION | 56 CPP (CH), 58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A.N.________ à l’encontre du Procureur W.________ (art. 13 LVCPP [loi vaudoise du 19 mai 2009 d’introduction du code de procédure pénale suisse; RSV 312.01]).</w:t>
      </w:r>
    </w:p>
    <w:p>
      <w:r>
        <w:rPr>
          <w:b/>
        </w:rPr>
        <w:t>E. 2.1.1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références citées). En particulier, n'emportent pas prévention une décision défavorable à une partie (TF 1B_365/2009 du 22 mars 2010 consid. 3.3) ou un refus d'administrer une preuve (ATF 116 Ia 135; Verniory, in: Kuhn/Jeanneret (éd.), Code de procédure pénale suisse, Commentaire romand, Bâle 2011, n. 35 ad art. 56 CPP, p. 196).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TF 1B_129/2014 du 16 mai 2014 consid. 2.1).</w:t>
      </w:r>
    </w:p>
    <w:p>
      <w:r>
        <w:rPr>
          <w:b/>
        </w:rPr>
        <w:t>E. 2.1.2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TF 1B_277/2008 du 13 novembre 2008 consid. 2.3), ce qui semble impliquer un délai en tout cas inférieur à dix jours, voire à la semaine (Verniory, in : Kuhn/Jeanneret [éd.], Code de procédure pénale suisse, Commentaire romand, Bâle 2011, n. 8 ad art. 58 CPP; Boog, in : Niggli/Heer/Wiprächtiger (éd.), Basler Kommentar, Schweizerische Strafprozessord-nung, Jugendstrafprozessordnung, Art. 1-195 StPO, 2 e éd., Bâle 2014, n. 5 ad art. 58 CPP et les arrêts cités).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Bâle 2013, n. 3 ad art. 58 CPP et les arrêts cités; Verniory, op. cit., n. 8 ad art. 58 CPP).</w:t>
      </w:r>
    </w:p>
    <w:p>
      <w:r>
        <w:rPr>
          <w:b/>
        </w:rPr>
        <w:t>E. 2.2.1</w:t>
      </w:r>
    </w:p>
    <w:p>
      <w:r>
        <w:t>La requérante reproche tout d’abord au Procureur W.________ de ne pas avoir fait droit à toutes ses réquisitions tendant à l’audition de témoins. Le rejet de réquisitions ne suffit pas, en l’absence d’autres circonstances particulières, à créer une quelconque apparence de prévention. Or de telles circonstances n’existent pas dans le cas présent. Parmi les témoins dont l’audition était requise, le procureur a entendu la psychologue [...] (PV aud. 62), la tante de la requérante [...] (PV aud. 56), [...] (PV aud. 60) et M.________ (PV aud. 66). Il ressort en outre du procès-verbal des opérations que les 7 et 8 octobre 2015, le procureur a entendu s ept témoins ; trois d’entre eux – [...] et [...] ainsi que [...] – figuraient dans les réquisitions des 15 janvier et 11 février 2015 (P. 70 et 88). L’instruction a donc porté sur la question importante des liens qui unissaient la requérante à son père. Des thérapeutes, qui sont intervenus auprès de la prévenue ou de la victime, ont aussi été entendus. On ne saurait voir une quelconque apparence de partialité dans le refus du procureur de faire droit à l’intégralité des nombreuses réquisitions d’audition de témoins de la requérante. Même si l’on admettait que les refus reprochés au procureur constituaient des erreurs d’appréciation, celles-ci ne justifieraient pas une récusation, dès lors qu’il ne s’agirait manifestement pas d’erreurs particulièrement lourdes ou répétées, constitutives de violations graves des devoirs du magistrat, au sens de la jurisprudence précitée. Le juge de la récusation, en effet, n’a pas à examiner la conduite d’un procès à la manière d’une juridiction de recours ou d’appel (ATF 116 Ia 135 précité, c. 3a; ATF 115 Ia 400 c. 3b, JT 1990 I 559 ) . Enfin, on rappelle que la requérante pourra renouveler ses réquisitions aux débats (art. 331 al. 3 CPP).</w:t>
      </w:r>
    </w:p>
    <w:p>
      <w:r>
        <w:rPr>
          <w:b/>
        </w:rPr>
        <w:t>E. 2.2.2</w:t>
      </w:r>
    </w:p>
    <w:p>
      <w:r>
        <w:t>La requérante voit une apparence de prévention dans les observations que le procureur lui a faites dans ses lettres des 28 août et 16 septembre 2015 (P. 172 et 188). Les observations du 28 août 2015 se rapportaient à une lettre adressée le 11 août 2015 par les époux [...] à la requérante. On y lit notamment : « Ton amie m’a appelé dimanche dernier (…) Quant à me manifester spontanément  auprès du procureur, je ne vois pas trop en quoi je peux argumenter » (annexe à la P. 172). Quant à celles du 16 septembre 2015, elles faisaient suite notamment à une lettre adressée à la requérante trois jours plus tôt et qui comporte le passage suivant : « M. et Mme [...]: ils ne se souviennent plus de cette visite. Ils ne savent pas ce qui s’était passé. J’ai dû leur dire en 2 mots » (P. 188/2). S’agissant de la lettre du 28 août 2015, on peut laisser ouverte la question de savoir si la demande de récusation a été déposée sans délai, le grief étant mal fondé. Les deux passages incriminés, en effet, démontrent, ou tout au moins suggèrent fortement, que l’intéressée a tenté de solliciter des témoignages en indiquant à l’avance aux personnes concernées sur quels points et dans quel sens elles devaient s’exprimer. Il s’ensuit que l’intervention du procureur visant à rappeler à la requérante les règles relatives à ses courriers et visites était non seulement admissible, mais encore parfaitement justifiée eu égard aux circonstances, sans qu’il en résulte une quelconque apparence de prévention.</w:t>
      </w:r>
    </w:p>
    <w:p>
      <w:r>
        <w:rPr>
          <w:b/>
        </w:rPr>
        <w:t>E. 2.2.3</w:t>
      </w:r>
    </w:p>
    <w:p>
      <w:r>
        <w:t>La requérante se plaint que sa participation personnelle à l’inspection locale du 23 septembre 2015, dans la villa de la victime, ait été refusée. Le procureur a expliqué, dans sa prise de position, qu’il était absent de Suisse le 18 septembre 2015 – date à laquelle l’un des défenseurs de la requérante était intervenu pour que celle-ci puisse participer à cette mesure et à laquelle le refus du procureur lui avait été communiqué – et qu’il n’a été associé à aucune demande ni à aucune décision relative à cette opération. Il a toutefois précisé que le procureur qui le remplaçait à ce moment-là avait confirmé à l’inspecteur [...] que le droit de participer à l’administration des preuves ne s’étendait pas à l’opération en question. Cette assertion paraît exacte s’agissant d’une opération de police revêtant un caractère essentiellement technique, où le Ministère public n’intervenait pas directement (Moreillon/Parein-Reymond, Petit Commentaire du Code de procédure pénale, Bâle 2013, n. 5 ad art. 147 CPP, pp. 423-424). En effet, ainsi que l’a expliqué le Procureur W.________, la police avait été chargée, le 16 septembre 2015, de vérifier de nouveau – des investigations antérieures étant demeurées infructueuses –dans la maison de la victime, sur la bases des indications données par les prévenus, si des lingots de métaux précieux avaient réellement été dissimulés dans des caissons de stores avant d’être déplacés chez la requérante où ils avaient été retrouvés.</w:t>
      </w:r>
    </w:p>
    <w:p>
      <w:r>
        <w:rPr>
          <w:b/>
        </w:rPr>
        <w:t>E. 2.2.4</w:t>
      </w:r>
    </w:p>
    <w:p>
      <w:r>
        <w:t>La requérante reproche au procureur d’avoir « séquestré » et versé au dossier une partie de sa correspondance personnelle avec le témoin M.________. Il ressort du dossier que ce témoin, lors de son audition le 19 juin 2015, a remis une partie de sa correspondance au procureur, lequel, après examen, a décidé de la verser comme pièce au dossier (PV aud. 66, pp. 5-6). Le défenseur de la requérante a été informé de ce fait le 28 juillet 2015 (P. 161). Sur ce point, le grief est manifestement tardif. Il en va de même de ceux ayant trait au fait que la requérante n’ait pas assisté à un certain nombre d’auditions et d’opérations d’enquête antérieures de plusieurs semaines voire de plusieurs mois au dépôt de la demande de récusation.</w:t>
      </w:r>
    </w:p>
    <w:p>
      <w:r>
        <w:rPr>
          <w:b/>
        </w:rPr>
        <w:t>E. 2.3</w:t>
      </w:r>
    </w:p>
    <w:p>
      <w:r>
        <w:t>Il résulte de ce qui précède que certains griefs ont été formulés tardivement au regard de l’art. 58 al. 1 CPP, les autres étant mal fondés.</w:t>
      </w:r>
    </w:p>
    <w:p>
      <w:r>
        <w:rPr>
          <w:b/>
        </w:rPr>
        <w:t>E. 3</w:t>
      </w:r>
    </w:p>
    <w:p>
      <w:r>
        <w:t>En définitive, la demande de récusation déposée le 22 septembre 2015 par A.N.________ contre le Procureur W.________ doit être rejetée dans la mesure où elle est recevable. Les frais de la présente procédure, constitués en l’espèce du seul émolument de décision (art. 422 al. 1 CPP), par 990 fr. (art. 20 al. 1 TFIP [tarif des frais de procédure et indemnités en matière pénale du 28 septembre 2010 ; RSV 312.03.1]), seront mis à la charge de la requérante, conformément à l'art. 59 al. 4 2 e phrase CPP. Par ces motifs, la Chambre des recours pénale prononce : I. La demande de récusation présentée le 22 septembre 2015 par A.N.________ contre le Procureur W.________ est rejetée dans la mesure où elle est recevable. II. Les frais de la procédure de recours, par 990 fr. (neuf cent nonante francs), sont mis à la charge de A.N.________. III. La présente décision est exécutoire. Le président :               Le greffier : Du La présente décision, dont la rédaction a été approuvée à huis clos, est notifiée, par l'envoi d'une copie complète, à : - Me Stefan Disch, avocat (pour A.N.________),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