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 vom 20. Januar 2015</w:t>
      </w:r>
    </w:p>
    <w:p>
      <w:r>
        <w:t>VD Tribunal cantonal, 2015-01-20, FR</w:t>
      </w:r>
    </w:p>
    <w:p>
      <w:r>
        <w:rPr>
          <w:b/>
        </w:rPr>
        <w:t xml:space="preserve">Quelle: </w:t>
      </w:r>
      <w:r>
        <w:t>https://mcp.opencaselaw.ch/entscheid/vd_findinfo_D_cision___2015___84</w:t>
      </w:r>
    </w:p>
    <w:p>
      <w:r>
        <w:t>FR: VD_FINDINFO Décision / 2015 / 84 du 20 janvier 2015</w:t>
      </w:r>
    </w:p>
    <w:p>
      <w:r>
        <w:t>IT: VD_FINDINFO Décision / 2015 / 84 del 20 gennaio 2015</w:t>
      </w:r>
    </w:p>
    <w:p>
      <w:pPr>
        <w:pStyle w:val="Heading2"/>
      </w:pPr>
      <w:r>
        <w:t>Regeste</w:t>
      </w:r>
    </w:p>
    <w:p>
      <w:r>
        <w:t>CLASSEMENT DE LA PROCÉDURE, SUSPENSION DE LA PROCÉDURE |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En l’espèce, l’infraction de dénonciation calomnieuse ne pouvait être exclue avant de connaître le résultat de l’opposition du recourant à l’ordonnance pénale rendue à son encontre, cette décision étant fondée sur la plainte pénale initiale déposée par T.________. Il s’ensuit que le dossier doit être renvoyé au Ministère public, lequel devra suspendre la procédure jusqu’à droit connu sur l’opposition et statuer ensuite sur la plainte du recourant pour dénonciation calomnieuse.</w:t>
      </w:r>
    </w:p>
    <w:p>
      <w:r>
        <w:rPr>
          <w:b/>
        </w:rPr>
        <w:t>E. 3</w:t>
      </w:r>
    </w:p>
    <w:p>
      <w:r>
        <w:t>En définitive, le recours doit être admis, l'ordonnance de classement annulée et le dossier de la cause renvoyé au Ministère public pour qu'il procède dans le sens des considérants. Les frais de la procédure de recours, constitués du seul émolument d'arrêt, par 550 fr. (art. 20 al. 1 TFIP [Tarif des frais de procédure et indemnités en matière pénale du 28 septembre 2010, RSV 312.03.1]), seront laissés à la charge de l’Etat (art. 428 al. 4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30 septembre 2014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Mme Colette Chable, avocate (pour I.________), - Mme Nicole Wiebach, avocate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