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836 vom 11. November 2015</w:t>
      </w:r>
    </w:p>
    <w:p>
      <w:r>
        <w:t>VD Tribunal cantonal, 2015-11-11, FR</w:t>
      </w:r>
    </w:p>
    <w:p>
      <w:r>
        <w:rPr>
          <w:b/>
        </w:rPr>
        <w:t xml:space="preserve">Quelle: </w:t>
      </w:r>
      <w:r>
        <w:t>https://mcp.opencaselaw.ch/entscheid/vd_findinfo_D_cision___2015___836</w:t>
      </w:r>
    </w:p>
    <w:p>
      <w:r>
        <w:t>FR: VD_FINDINFO Décision / 2015 / 836 du 11 novembre 2015</w:t>
      </w:r>
    </w:p>
    <w:p>
      <w:r>
        <w:t>IT: VD_FINDINFO Décision / 2015 / 836 del 11 novembre 2015</w:t>
      </w:r>
    </w:p>
    <w:p>
      <w:pPr>
        <w:pStyle w:val="Heading2"/>
      </w:pPr>
      <w:r>
        <w:t>Regeste</w:t>
      </w:r>
    </w:p>
    <w:p>
      <w:r>
        <w:t>RÉCUSATION |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A.________ à l'encontre du Procureur I.________ (art. 13 LVCPP [loi d’introduction du code de procédure pénale suisse; RSV 312.01]).</w:t>
      </w:r>
    </w:p>
    <w:p>
      <w:r>
        <w:rPr>
          <w:b/>
        </w:rPr>
        <w:t>E. 2.1</w:t>
      </w:r>
    </w:p>
    <w:p>
      <w:r>
        <w:t>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TF 1B_129/2014 du 16 mai 2014 consid. 2.1). Enfin, n'emportent pas prévention une décision défavorable à une partie (TF 1B_105/2013 du 21 mai 2013 consid. 2.1; TF 1B_365/2009 du 22 mars 2010 consid. 3.3) ou un refus d'administrer une preuve (ATF 116 Ia 135; Verniory, in : Kuhn/Jeanneret, Commentaire romand, Code de procédure pénale suisse, Bâle 2011, n. 35 ad art. 56 CPP).</w:t>
      </w:r>
    </w:p>
    <w:p>
      <w:r>
        <w:rPr>
          <w:b/>
        </w:rPr>
        <w:t>E. 2.2</w:t>
      </w:r>
    </w:p>
    <w:p>
      <w:r>
        <w:t>En l’occurrence, comme le Procureur l’a relevé à juste titre, A.________ confond non seulement les affaires instruites devant divers procureurs mais également les personnes en charge des dossiers le concernant. La demande de récusation ne repose sur aucun élément en rapport avec la présente procédure, mais sur des allégations non établies en relation avec d’autres affaires. Les éléments invoqués par le requérant auraient dû, le cas échéant, être soulevés dans ces autres procédures, conformément à l’art. 58 al. 1 CPP aux termes duquel lorsqu’une partie entend demander la récusation d’une personne qui exerce une fonction au sein d’une autorité pénale, elle doit présenter sans délai à la direction de la procédure une demande en ce sens, dès qu’elle a connaissance du motif de récusation. On relèvera en outre que les parties à une procédure judiciaire doivent contester les décisions qu'elles estiment mal fondées par le biais des procédures de recours prévues par la loi (TF 1B_105/2013 précité consid. 2.2), étant rappelé qu’une décision défavorable à une partie ne saurait emporter prévention en soi, comme on l’a vu ci-avant. Enfin, il n’y a pas davantage matière à récusation du fait que le Procureur intervienne dans différentes affaires concernant le requérant, dans la mesure où une telle manière de faire est conforme à une administration rationnelle de la justice (TF 1B_415/2011 du 25 octobre 2011 consid. 2.2 ; CREP 20 novembre 2014/835 consid. 2.2). Pour le surplus, l’examen du dossier ne révèle pas d’éléments susceptibles de démontrer une quelconque prévention du Procureur I.________. Il s’ensuit qu’aucun motif de récusation au sens de l'art. 56 let. f CPP n'est réalisé dans le présent cas.</w:t>
      </w:r>
    </w:p>
    <w:p>
      <w:r>
        <w:rPr>
          <w:b/>
        </w:rPr>
        <w:t>E. 3</w:t>
      </w:r>
    </w:p>
    <w:p>
      <w:r>
        <w:t>Il résulte de ce qui précède que la demande de récusation présentée par A.________ doit être rejetée. Les frais de la procédure, constitués en l’espèce de l’émolument de décision, par 660 fr. (art. 20 al. 1 TFIP [tarif des frais de procédure et indemnités en matière pénale du 28 septembre 2010; RSV 312.03.1]), seront mis à la charge du requérant, qui succombe (art. 59 al. 4 CPP). Par ces motifs, la Chambre des recours pénale prononce : I. La demande de récusation est rejetée. II. Les frais de la présente décision, par 660 fr. (six cent soixante francs), sont mis à la charge d’A.________. III. La présente décision est exécutoire. Le président :               Le greffier : Du La présente décision, dont la rédaction a été approuvée à huis clos, est notifiée, par l'envoi d'une copie complète, à : - M. A.________,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