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830 vom 12. November 2015</w:t>
      </w:r>
    </w:p>
    <w:p>
      <w:r>
        <w:t>VD Tribunal cantonal, 2015-11-12, FR</w:t>
      </w:r>
    </w:p>
    <w:p>
      <w:r>
        <w:rPr>
          <w:b/>
        </w:rPr>
        <w:t xml:space="preserve">Quelle: </w:t>
      </w:r>
      <w:r>
        <w:t>https://mcp.opencaselaw.ch/entscheid/vd_findinfo_D_cision___2015___830</w:t>
      </w:r>
    </w:p>
    <w:p>
      <w:r>
        <w:t>FR: VD_FINDINFO Décision / 2015 / 830 du 12 novembre 2015</w:t>
      </w:r>
    </w:p>
    <w:p>
      <w:r>
        <w:t>IT: VD_FINDINFO Décision / 2015 / 830 del 12 novembre 2015</w:t>
      </w:r>
    </w:p>
    <w:p>
      <w:pPr>
        <w:pStyle w:val="Heading2"/>
      </w:pPr>
      <w:r>
        <w:t>Regeste</w:t>
      </w:r>
    </w:p>
    <w:p>
      <w:r>
        <w:t>EXÉCUTION ANTICIPÉE DES PEINES ET DES MESURES | 236 CPP (CH)</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 e éd., Bâle 2014, n. 10 ad art. 393 CPP; Hug, in : Donatsch/Hansjakob/Lieber (éd.), Kommentar zur Schweizerischen Strafprozessordnung, 2 e éd., 2014, n. 17 ad art. 236 CPP;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il y a lieu d’entrer en matière sur le recours, qui a été interjeté en temps utile devant l’autorité compétente et satisfait aux conditions de forme posées par l’art. 385 al. 1 CPP.</w:t>
      </w:r>
    </w:p>
    <w:p>
      <w:r>
        <w:rPr>
          <w:b/>
        </w:rPr>
        <w:t>E. 2.1</w:t>
      </w:r>
    </w:p>
    <w:p>
      <w:r>
        <w:t>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JT 2011 IV 3, spéc. p. 9). La poursuite de la détention sous la forme de l’exécution anticipée de la peine suppose l’existence d’un motif de détention provisoire particulier, comme le risque de collusion ou le risque de fuite (TF 1B_90/2012 précité; ATF 117 Ia 72; Robert-Nicoud, in : Kuhn/Jeanneret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in: Donatsch/Hansjakob/Lieber (éd.),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in : Niggli/Heer/Wiprächtiger (éd.), op. cit., n. 13 ad art. 236 CPP et les références citées).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 arrêt 1B_90/2012 du 21 mars 2012 consid. 2.2 et les arrêts cités ; TF 1B_415/2012 du 25 juillet 2012 ; 1B_426/2012 du 3 août 2012).</w:t>
      </w:r>
    </w:p>
    <w:p>
      <w:r>
        <w:rPr>
          <w:b/>
        </w:rPr>
        <w:t>E. 2.2</w:t>
      </w:r>
    </w:p>
    <w:p>
      <w:r>
        <w:t>En l’espèce, la Procureure a considéré qu’un risque concret de collusion s’opposait à une exécution anticipée de peine. Elle a expliqué que le prévenu et son frère P.________ avaient dû être remis à l’ordre à diverses reprises pour avoir essayé de communiquer entre eux par le biais d’autres détenus, ainsi que pour avoir tenté, par le biais de courriers, de faire passer des messages en faveur d’autres détenus. La Cour de céans fait sienne l’appréciation de la Procureure. Il ressort en effet du dossier que le recourant et son coprévenu sont parvenus à se transmettre un courrier faisant état de l’affaire en cours par l’intermédiaire d’autres détenus en exécution de peine ce qui leur a valu une révocation de l’autorisation de téléphoner qui leur avait précédemment été octroyée (P. 121, 122 et 127). Le recourant a par la suite encore cherché à entrer en contact avec son frère, coprévenu, en octobre 2015 (P. 131). Aussi, le risque de collusion in concreto est non seulement avéré, mais également élevé. Le refus d’autoriser l’exécution anticipée de peine est donc justifié pour ce motif déjà. Au surplus, s’il est vrai que le dossier a été mis en prochaine clôture et que le recourant n’a pas sollicité de mesures d’instruction complémentaires (P. 142), il n’en demeure pas moins que le coprévenu du recourant a, quant à lui, requis des mesures supplémentaires (P. 141). Ces mesures ont été admises par la Procureure et sont actuellement en cours d’exécution (P. 143). On doit donc considérer qu’on ne se trouve pas encore à un stade de la procédure qui permet l’exécution anticipée de la peine (art. 236 al. 1 CPP).</w:t>
      </w:r>
    </w:p>
    <w:p>
      <w:r>
        <w:rPr>
          <w:b/>
        </w:rPr>
        <w:t>E. 3</w:t>
      </w:r>
    </w:p>
    <w:p>
      <w:r>
        <w:t>Il résulte de ce qui précède que c’est à bon droit que la Procureure a refusé de mettre le prévenu au bénéfice d’une exécution anticipée de peine. Partant, le recours, manifestement mal fondé, doit être rejeté sans autres échanges d’écritures (art. 390 al. 2 CPP) et l’ordonnance du 20 octobre 2015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20 octobre 2015 est confirmée. III. L’indemnité allouée au défenseur d’office de H.________ est fixée à 583 fr. 20 (cinq cent huitante-trois francs et vingt centimes). IV. Les frais du présent arrêt, par 770 fr. (sept cent septante francs), ainsi que l’indemnité due au défenseur d’office du recourant par 583 fr. 20 (cinq cent huitante-trois francs et vingt centimes), sont mis à la charge de H.________. V. Le remboursement à l’Etat de l’indemnité allouée au chiffre III ci-dessus sera exigible pour autant que la situation économique de H.________ se soit améliorée. VI. Le présent arrêt est exécutoire. Le président :               La greffière : Du Le présent arrêt, dont la rédaction a été approuvée à huis clos, est notifié, par l'envoi d'une copie complète, à : - M. Samuel Pahud, avocat (pour H.________), - Ministère public central, et communiqué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