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829 vom 6. November 2015</w:t>
      </w:r>
    </w:p>
    <w:p>
      <w:r>
        <w:t>VD Tribunal cantonal, 2015-11-06, FR</w:t>
      </w:r>
    </w:p>
    <w:p>
      <w:r>
        <w:rPr>
          <w:b/>
        </w:rPr>
        <w:t xml:space="preserve">Quelle: </w:t>
      </w:r>
      <w:r>
        <w:t>https://mcp.opencaselaw.ch/entscheid/vd_findinfo_D_cision___2015___829</w:t>
      </w:r>
    </w:p>
    <w:p>
      <w:r>
        <w:t>FR: VD_FINDINFO Décision / 2015 / 829 du 6 novembre 2015</w:t>
      </w:r>
    </w:p>
    <w:p>
      <w:r>
        <w:t>IT: VD_FINDINFO Décision / 2015 / 829 del 6 novembre 2015</w:t>
      </w:r>
    </w:p>
    <w:p>
      <w:pPr>
        <w:pStyle w:val="Heading2"/>
      </w:pPr>
      <w:r>
        <w:t>Regeste</w:t>
      </w:r>
    </w:p>
    <w:p>
      <w:r>
        <w:t>CLASSEMENT DE LA PROCÉDURE |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dans les formes prescrites après avoir été mis en conformité avec les exigences légales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ATF 138 IV 186; TF 1B_272/2011 du 22 mars 2012 consid.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2.2</w:t>
      </w:r>
    </w:p>
    <w:p>
      <w:r>
        <w:t>En l'espèce, A.________ ne revient plus, dans son recours, sur la disparition de sa bague, mais uniquement sur le montant des frais de réparation de son ordinateur exigé par P.________, qu'elle considère comme excessif (P. 8/1, p. 2). Or, ces faits ne sont constitutifs d'aucune infraction pénale et la prénommée ne fournit aucun indice dans ce sens. Il s'agit bien plutôt d'un litige de nature civile. Quant au grief selon lequel le prénommé n’aurait pas rendu la monnaie à la recourante, il n’est étayé par aucun élément ; rien ne permet d’ailleurs de retenir que cette dernière aurait payé davantage que ce que lui réclamait le prévenu, la plaignante affirmant d’ailleurs elle-même avoir payé« [s]on dû soit 400 fr. » (P. 5, p. 1 in fine ). C’est donc à juste titre que le Procureur a classé la procédure pénale dirigée contre P.________.</w:t>
      </w:r>
    </w:p>
    <w:p>
      <w:r>
        <w:rPr>
          <w:b/>
        </w:rPr>
        <w:t>E. 3</w:t>
      </w:r>
    </w:p>
    <w:p>
      <w:r>
        <w:t>Il résulte de ce qui précède que le recours, manifestement mal fondé, doit être rejeté sans autres échanges d’écritures (art. 390 al. 2 CPP) et l’ordonnance attaquée confirmée. Alléguant son impécuniosité, la recourante requiert implicitement de pouvoir bénéficier de l'assistance judiciaire gratuite pour les frais de la procédure de recours. Cette requête doit toutefois être rejetée dès lors que le recours était d'emblée voué à l'échec (CREP 20 août 2014/587 consid. 3 et la référence citée). Les frais de la procédure de recours, constitués en l’espèce de l’émolument d'arrêt (art. 422 al. 1 CPP), par 550 fr. (art. 20 al. 1 TFIP [tarif des frais de procédure et indemnités en matière pénale du 28 septembre 2010; RSV 312.03.1]) , seront mis à la charge de la recourante, qui succombe (art. 428 al. 1 CPP). Par ces motifs, la Chambre des recours pénale prononce : I. Le recours est rejeté. II. L’ordonnance du 15 octobre 2015 est confirmée. III. La requête d’assistance judiciaire est rejetée. IV. Les frais de la procédure de recours, par 550 fr. (cinq cent cinquante francs), sont mis à la charge d’A.________. V. Le présent arrêt est exécutoire. Le président :               Le greffier : Du Le présent arrêt, dont la rédaction a été approuvée à huis clos, est notifié, par l'envoi d'une copie complète, à : - Mme A.________, - M. P.________, - Ministère public central, et communiqué à : - M. le Procureur de l’arrondissement de Lausanne,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