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824 vom 5. November 2015</w:t>
      </w:r>
    </w:p>
    <w:p>
      <w:r>
        <w:t>VD Tribunal cantonal, 2015-11-05, FR</w:t>
      </w:r>
    </w:p>
    <w:p>
      <w:r>
        <w:rPr>
          <w:b/>
        </w:rPr>
        <w:t xml:space="preserve">Quelle: </w:t>
      </w:r>
      <w:r>
        <w:t>https://mcp.opencaselaw.ch/entscheid/vd_findinfo_D_cision___2015___824</w:t>
      </w:r>
    </w:p>
    <w:p>
      <w:r>
        <w:t>FR: VD_FINDINFO Décision / 2015 / 824 du 5 novembre 2015</w:t>
      </w:r>
    </w:p>
    <w:p>
      <w:r>
        <w:t>IT: VD_FINDINFO Décision / 2015 / 824 del 5 novembre 2015</w:t>
      </w:r>
    </w:p>
    <w:p>
      <w:pPr>
        <w:pStyle w:val="Heading2"/>
      </w:pPr>
      <w:r>
        <w:t>Regeste</w:t>
      </w:r>
    </w:p>
    <w:p>
      <w:r>
        <w:t>CAS DE SÉQUESTRE, SUPPRESSION{EN GÉNÉRAL}, PROPORTIONNALITÉ | 69 CP, 263 al. 1 let. a CPP (CH), 263 al. 1 let. d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décision du Ministère public refusant de lever un séquestre (art. 263 CPP) est ainsi susceptible de recours selon les art. 393 ss CPP (Bommer/Goldschmid, in : Niggli/Heer/Wiprächtiger [éd.], Basler Kommentar, Schweizerische Strafprozessordnung, Jugendstrafprozessordnung, 2 e éd., Bâle 2014, n. 66 ad art. 263 CPP; CREP 19 janvier 2015/34). Ce recours s’exerce auprès de l’autorité de recours (cf. art. 20 al. 1 let. b CPP), qui, dans le canton de Vaud, est la Chambre des recours pénale du Tribunal cantonal (art. 13 LVCPP, RSV 312.01; art. 80 LOJV, RS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probatoire (art. 263 al. 1 let. a CPP) garantit la protection et la conservation, à la disposition des autorités pénales, de tous les éléments de preuve découverts lors d'une perquisition ou au cours de l'enquête, susceptibles de servir à la manifestation de la vérité au cours du procès pénal (Lembo/Julen Berthod, in : Kuhn/Jeanneret [éd.], Commentaire romand, Code de procédure pénale suisse, Bâle 2011, n. 5 ad art. 263 CPP; Bommer/Goldschmid, in : Niggli/Heer/Wiprächtiger [éd.], op. cit., n. 5 ante art. 263-268 CPP et n. 9 ad art. 263 CPP). Le séquestre de type conservatoire (art. 263 al. 1 let. d CPP) consiste à placer sous main de justice des biens en raison du danger qu'ils présentent pour la sécurité des personnes, la morale ou l'ordre public (art. 69 CP [Code pénal suisse du 21 décembre 1937 ; RS 311.0]), de leur origine ou de leur utilisation criminelle (art. 70 et 72 CP) pour autant que l'on puisse admettre, prima facie , qu'ils pourront être confisqués en application du droit fédéral (Lembo/Julen Berthod, in : Kuhn/ Jeanneret [éd.], op. cit., n. 7 ad art. 263 CPP).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(ATF 137 IV 249 consid. 4.4).</w:t>
      </w:r>
    </w:p>
    <w:p>
      <w:r>
        <w:rPr>
          <w:b/>
        </w:rPr>
        <w:t>E. 2.2</w:t>
      </w:r>
    </w:p>
    <w:p>
      <w:r>
        <w:t>Le séquestre est donc une mesure fondée sur la vraisemblance ; tant que l'instruction n'est pas achevée, une simple probabilité suffit car, à l'instar de toute mesure provisionnelle, la saisie se rapporte à des prétentions encore incertaines (ATF 139 IV 250 consid. 2.1; ATF 137 IV 145 consid. 6.4 et les références citées; TF 1B_127/2013 du 1 er mai 2013 consid. 2). L'autorité doit pouvoir décider rapidement du séquestre provisoire (cf. art. 263 al. 2 CPP), ce qui exclut qu'elle résolve des questions juridiques complexes ou qu'elle attende d'être renseignée de manière exacte et complète sur les faits avant d'agir (ATF 116 Ib 96 consid. 3a). Ainsi, la réalisation des conditions du séquestre doit être régulièrement vérifiée par l'autorité compétente, avec une plus grande rigueur à mesure que l'enquête progresse (ATF 122 IV 91 consid. 4). Conformément à l'art. 267 al. 1 CPP, si le motif du séquestre disparaît, le Ministère public ou le tribunal lève la mesure et restitue les objets et valeurs patrimoniales à l'ayant droit (Lembo/Julen Berthod, in : Kuhn/ Jeanneret [éd.], op. cit., n. 1 ad art. 267 CPP). C'est l'expression du principe de la proportionnalité qui doit être respecté, comme pour toutes les autres mesures de contrainte (cf. art. 197 al. 1 let. c CPP; art. 36 al. 3 Cst.; Bommer/Goldschmid, in : Niggli/Heer/Wiprächtiger [éd.], op. cit., n. 3 ad art. 267 CPP). En cas de séquestre conservatoire d’un support informatique, le respect du principe de proportionnalité peut rendre nécessaire la remise à l’intéressé d’une copie des données licites contenues sur le support en question (CREP 15 décembre 2014/892; CREP 23 janvier 2013/44).</w:t>
      </w:r>
    </w:p>
    <w:p>
      <w:r>
        <w:rPr>
          <w:b/>
        </w:rPr>
        <w:t>E. 2.3</w:t>
      </w:r>
    </w:p>
    <w:p>
      <w:r>
        <w:t>En l'espèce, il n’est pas contesté que l’ordinateur et le disque dur externe séquestrés renferment des fichiers au contenu illicite (cf. P. 7; PV aud. 1), ceux-ci ayant d’ailleurs été identifiés. Il est hautement probable que ces fichiers, qui mettent à tout le moins en danger la morale publique, devront en fin de compte être confisqués et détruits en application de l’art. 69 CP, de sorte que le séquestre conservatoire demeure justifié. Cela étant, les supports informatiques séquestrés contiennent également des données licites, dont le recourant a demandé à obtenir une copie. Dans son ordonnance du 29 septembre 2015, la Procureure a expliqué qu’une extraction de ces fichiers s’avérerait impossible. Or, il ne ressort ni de l’échange de courriels entre le recourant et l’inspecteur en charge de l’enquête (P. 3 du bordereau produit à l’appui du recours), ni du rapport d’investigation établi par ce dernier (P. 7) qu’il serait techniquement impossible de faire une copie des données licites stockées sur les supports litigieux. En l’absence de motivation convaincante sur l’impossibilité de procéder à une telle extraction, le respect du principe de la proportionnalité impose qu’une copie des données informatiques licites contenues sur les supports informatiques séquestrés soit remise au recourant. Partant, c’est à tort que le Ministère public a refusé de transmettre une copie des données licites contenues sur le matériel informatique séquestré.</w:t>
      </w:r>
    </w:p>
    <w:p>
      <w:r>
        <w:rPr>
          <w:b/>
        </w:rPr>
        <w:t>E. 3</w:t>
      </w:r>
    </w:p>
    <w:p>
      <w:r>
        <w:t>En définitive, le recours doit être admis et l’ordonnance attaquée réformée en ce sens qu’une copie des données licites contenues sur l'ordinateur portable Apple iMac et le disque dur externe Lacie n° 16041401130769GMA séquestrés sous fiche n° 59945 sera remise au recourant dans un délai d’un mois dès la notification du présent arrêt. L’ordonnance doit être confirmée pour le surplus. Les frais de la procédure de recours, constitués du seul émolument d'arrêt, par 660 fr. (art. 20 al. 1 TFIP [Tarif des frais judiciaires pénaux du 28 septembre 2010, RSV 312.03.1]), seront laissés à la charge de l’Etat (art. 423 al. 1 CPP). Par ces motifs, la Chambre des recours pénale prononce : I. Le recours est admis. II. L’ordonnance du 29 septembre 2015 est réformée en ce sens qu’une copie des données licites contenues sur l'ordinateur portable Apple iMac et le disque dur externe Lacie n° 16041401130769GMA séquestrés sous fiche n° 59945 sera remise au recourant dans un délai d’un mois dès la notification du présent arrêt. III. L’ordonnance est confirmée pour le surplus. IV. Les frais du présent arrêt, par 660 fr. (six cent soixante francs), sont laissés à la charge de l’Etat. V. Le présent arrêt est exécutoire. Le président :               La greffière : Du Le présent arrêt, dont la rédaction a été approuvée à huis clos, est notifié, par l'envoi d'une copie complète, à : - Mme Charlotte Iselin, avocate (pour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