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821 vom 6. November 2015</w:t>
      </w:r>
    </w:p>
    <w:p>
      <w:r>
        <w:t>VD Tribunal cantonal, 2015-11-06, FR</w:t>
      </w:r>
    </w:p>
    <w:p>
      <w:r>
        <w:rPr>
          <w:b/>
        </w:rPr>
        <w:t xml:space="preserve">Quelle: </w:t>
      </w:r>
      <w:r>
        <w:t>https://mcp.opencaselaw.ch/entscheid/vd_findinfo_D_cision___2015___821</w:t>
      </w:r>
    </w:p>
    <w:p>
      <w:r>
        <w:t>FR: VD_FINDINFO Décision / 2015 / 821 du 6 novembre 2015</w:t>
      </w:r>
    </w:p>
    <w:p>
      <w:r>
        <w:t>IT: VD_FINDINFO Décision / 2015 / 821 del 6 novembre 2015</w:t>
      </w:r>
    </w:p>
    <w:p>
      <w:pPr>
        <w:pStyle w:val="Heading2"/>
      </w:pPr>
      <w:r>
        <w:t>Regeste</w:t>
      </w:r>
    </w:p>
    <w:p>
      <w:r>
        <w:t>EXPERTISE PSYCHIATRIQUE, PRINCIPE DE LA CÉLÉRITÉ | 20 CP, 184 CPP (CH), 5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S’agissant de la décision par laquelle le Ministère public désigne un expert et définit le mandat donné à celui-ci (art. 184 CPP), les parties peuvent recourir selon les art. 393 ss CPP contre le choix de l’expert, le choix des questions posées ou leur formulation (CREP 12 mars 2015/184 ; CREP 29 novembre 2012/779 et les références citées). Le prévenu a en outre un intérêt juridiquement protégé (art. 382 al. 1 CPP) pour contester dans son principe même la décision d'ordonner une expertise le concernant, compte tenu des atteintes que la mise en œuvre d'une telle expertise est susceptible d'engendrer (CREP 29 novembre 2012/779 ; cf. aussi Haenni, in : Niggli/Heer/Wiprächtiger (éd.), Basler Kommentar, Schweizerische Strafprozessordnung, Jugendstrafprozessordnung, 2 e éd., Bâle 2014, n. 29 ad art. 251/252). En l'espèce, il y a lieu d’entrer en matière sur le recours, qui a été interjeté en temps utile par le prévenu devant l’autorité compétente et satisfait aux conditions de forme posées par l’art. 385 al. 1 CPP.</w:t>
      </w:r>
    </w:p>
    <w:p>
      <w:r>
        <w:rPr>
          <w:b/>
        </w:rPr>
        <w:t>E. 2</w:t>
      </w:r>
    </w:p>
    <w:p>
      <w:r>
        <w:t>Le recourant conteste dans son principe même la décision d’ordonner une expertise. Il soutient que sa situation n’aurait pas évolué depuis la précédente expertise psychiatrique dont il a fait l’objet et relève que lors de sa dernière condamnation par le Tribunal correctionnel de l’arrondissement de Lausanne le 22 janvier 2015 ni celui-ci, ni le Ministère public n’avaient jugé utile de requérir une telle mesure.</w:t>
      </w:r>
    </w:p>
    <w:p>
      <w:r>
        <w:rPr>
          <w:b/>
        </w:rPr>
        <w:t>E. 2.1</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Selon le Tribunal fédéral, même des doutes minimes peuvent justifier la nécessité d'une expertise (TF 6S.17/2002 du 7 mai 2002 consid. 1 c/cc).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consid. 4a ; ATF 102 IV 74 consid. 1 ; TF 6B_341/2010 du 20 juillet 2010 consid. 3.3.1). Enfin, le juge peut se fonder sur une expertise qui figure déjà au dossier, si celle-ci est encore suffisamment actuelle (ATF 128 IV 241 consid. 3.4 ; Dupuis et alii (éd.), Petit commentaire du Code pénal, 2012, n. 7 ad art. 20 CP et les références citées). 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 Kuhn/Jeanneret (éd.), Commentaire romand, Code de procédure pénale suisse, Bâle 2011, nn. 9 et 16 ad art. 184 CPP ; Donatsch, in : Donatsch/Hansjakob/Lieber (éd.), Kommentar zur Schweizerischen Strafprozessordnung, 2 e éd. 2014, n. 36 ad art. 184 CPP ; CREP 12 mars 2015/184).</w:t>
      </w:r>
    </w:p>
    <w:p>
      <w:r>
        <w:rPr>
          <w:b/>
        </w:rPr>
        <w:t>E. 2.2</w:t>
      </w:r>
    </w:p>
    <w:p>
      <w:r>
        <w:t>En l’espèce, contrairement à ce qu’allègue le recourant, la mise en œuvre d’une nouvelle expertise psychiatrique se justifie pleinement, puisque trois ans se sont écoulés depuis celle qui a été établie le 22 novembre 2012. Cette période semble suffisamment longue pour permettre de discerner une évolution chez un individu. Le fait que les autorités qui se sont chargées de poursuivre et juger le prévenu dans la procédure débouchant sur sa dernière condamnation n’avaient pas estimé opportun de mettre en œuvre une nouvelle expertise n’y change rien. De surcroît, au vu du comportement du prévenu depuis le dépôt du dernier rapport d’expertise psychiatrique – le recourant a fait l’objet de trois condamnations à des peines privatives de liberté pour des infractions qui ne sont pas de peu de gravité –, il convient maintenant de se poser la question de savoir si une mesure prévue par le Code pénal devrait être ordonnée, ce d’autant que dans leur dernier rapport d’expertise, les experts avaient déjà estimé qu’un traitement psychothérapeutique apparaissait bénéfique, pour autant que le recourant s’engage de manière authentique dans cette démarche. La Cour de céans est d’avis que le prononcé d’une telle mesure pourrait aujourd’hui l’aider à sortir de la spirale sans fin dans laquelle il se trouve. Au vu de ce qui précède, le moyen invoqué par le recourant et mal fondé et doit être rejeté.</w:t>
      </w:r>
    </w:p>
    <w:p>
      <w:r>
        <w:rPr>
          <w:b/>
        </w:rPr>
        <w:t>E. 3</w:t>
      </w:r>
    </w:p>
    <w:p>
      <w:r>
        <w:t>Le recourant invoque une violation du principe de la célérité, en alléguant que la Procureure aurait tardé à mettre en œuvre l’expertise psychiatrique objet de la présente procédure et que le délai pour le dépôt du rapport fixé au 31 décembre 2015 serait illusoire, de sorte que sa détention provisoire se prolongera au minimum pour une durée de six mois.</w:t>
      </w:r>
    </w:p>
    <w:p>
      <w:r>
        <w:rPr>
          <w:b/>
        </w:rPr>
        <w:t>E. 3.1</w:t>
      </w:r>
    </w:p>
    <w:p>
      <w:r>
        <w:t>Concrétisant le principe de la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(TF 1B_150/2012 du 30 mars 2012 consid. 3 et les arrêts cités). Il doit toutefois s'agir d'un manquement particulièrement grave, faisant au surplus apparaître que l'autorité de poursuite n'est plus en mesure de conduire la procédure à chef dans un délai raisonnable.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w:t>
      </w:r>
    </w:p>
    <w:p>
      <w:r>
        <w:rPr>
          <w:b/>
        </w:rPr>
        <w:t>E. 3.2</w:t>
      </w:r>
    </w:p>
    <w:p>
      <w:r>
        <w:t>C’est en vain que le recourant fait grief au Ministère public d’avoir violé le principe de la célérité. Certes, le mandat d’expertise psychiatrique a mis un certain temps à être délivré. Cependant, on observe que la direction de la procédure a engagé le processus de mise en œuvre de l’expertise le 30 juin 2015, soit rapidement après la mise en détention provisoire du prévenu, en demandant la désignation d’experts à l’Institut de psychiatrie légale (P. 19). Le fait que le recourant se soit ensuite opposé à la désignation de l’expert proposé par l’institut, ayant pour effet, au vu des différents échanges de courriers qui ont suivi, d’allonger le temps de la mise en œuvre de l’expertise, ne peut être reproché à la Procureure. Il apparaît à cet égard que l’avancement de l’instruction n’est entaché d’aucun retard injustifié, l’enquête ayant été diligentée de manière efficace et adéquate. Partant, le moyen invoqué par le recourant doit être rejeté.</w:t>
      </w:r>
    </w:p>
    <w:p>
      <w:r>
        <w:rPr>
          <w:b/>
        </w:rPr>
        <w:t>E. 4</w:t>
      </w:r>
    </w:p>
    <w:p>
      <w:r>
        <w:t>Il résulte de ce qui précède que le recours, manifestement mal fondé, doit être rejeté sans autre échange d’écritures (art. 390 al. 2 CPP) et le mandat d’expertise psychiatrique confirmé. Vu l’issue de la cause, les frais de la procédure de recours, constitués en l’espèce de l'émolument d'arrêt (art. 422 al. 1 CPP), par 770 fr. (art. 20 al. 1 TFIP [Tarif des frais de procédure et indemnités en matière pénale du 28 septembre 2010 ; RSV 312.03.1]), et des frais imputables à la défense d’office, fixés à 540 fr., plus la TVA par 43 fr. 20, soit 583 fr. 20 au total (art. 422 al. 1 et 2 let. a CPP), seront mis à la charge du recourant, qui succombe (art. 428 al. 1 CPP). Le remboursement à l’Etat de l’indemnité allouée au défenseur d’office de C.________ ne sera toutefois exigible que pour autant que la situation économique de ce dernier se soit améliorée (art. 135 al. 4 CPP). Par ces motifs, la Chambre des recours pénale prononce : I. Le recours est rejeté. II. Le mandat d’expertise psychiatrique est confirmé. III. L’indemnité allouée au défenseur d’office de C.________ est fixée à 583 fr. 20 (cinq cent huitante trois francs et vingt centimes). IV. Les frais de la procédure de recours, par 770 fr. (sept cent septante francs), ainsi que l’indemnité due au défenseur d’office de C.________ selon chiffre III ci-dessus, sont mis à la charge de ce dernier. V. Le remboursement à l'Etat de l'indemnité allouée au chiffre III ci-dessus ne sera exigible que pour autant que la situation économique de C.________ se soit améliorée. VI. Le présent arrêt est exécutoire. Le président :              Le greffier : Du Le présent arrêt, dont la rédaction a été approuvée à huis clos, est notifié, par l'envoi d'une copie complète, à : - Mme Martine Dang, avocate (pour C.________), - M. Daniel Théraulaz, avocat (pour [...]) - M. [...], - M. [...] (pour le [...]) - Mme [...], - [...], et communiqué à : - Institut de psychiatrie légale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