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813 vom 6. November 2015</w:t>
      </w:r>
    </w:p>
    <w:p>
      <w:r>
        <w:t>VD Tribunal cantonal, 2015-11-06, FR</w:t>
      </w:r>
    </w:p>
    <w:p>
      <w:r>
        <w:rPr>
          <w:b/>
        </w:rPr>
        <w:t xml:space="preserve">Quelle: </w:t>
      </w:r>
      <w:r>
        <w:t>https://mcp.opencaselaw.ch/entscheid/vd_findinfo_D_cision___2015___813</w:t>
      </w:r>
    </w:p>
    <w:p>
      <w:r>
        <w:t>FR: VD_FINDINFO Décision / 2015 / 813 du 6 novembre 2015</w:t>
      </w:r>
    </w:p>
    <w:p>
      <w:r>
        <w:t>IT: VD_FINDINFO Décision / 2015 / 813 del 6 novembre 2015</w:t>
      </w:r>
    </w:p>
    <w:p>
      <w:pPr>
        <w:pStyle w:val="Heading2"/>
      </w:pPr>
      <w:r>
        <w:t>Regeste</w:t>
      </w:r>
    </w:p>
    <w:p>
      <w:r>
        <w:t>PRONOSTIC, LIBÉRATION CONDITIONNELLE | 86 CP, 26 al. 1 let. a LEP, 38 LEP</w:t>
      </w:r>
    </w:p>
    <w:p>
      <w:pPr>
        <w:pStyle w:val="Heading2"/>
      </w:pPr>
      <w:r>
        <w:t>Erwägungen</w:t>
      </w:r>
    </w:p>
    <w:p>
      <w:r>
        <w:rPr>
          <w:b/>
        </w:rPr>
        <w:t>E. 1.1</w:t>
      </w:r>
    </w:p>
    <w:p>
      <w:r>
        <w:t>L’art. 26 al. 1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(let. a).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par une partie ayant qualité pour recourir (art. 382 al. 1 CPP). Conforme aux exigences de motivation prévues par l’art. 385 al. 1 CPP, il est ainsi recevable.</w:t>
      </w:r>
    </w:p>
    <w:p>
      <w:r>
        <w:rPr>
          <w:b/>
        </w:rPr>
        <w:t>E. 2.1</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Kuhn/Moreillon/Viredaz/Bichovsky,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 ATF 133 IV 201 précité consid. 2.3).</w:t>
      </w:r>
    </w:p>
    <w:p>
      <w:r>
        <w:rPr>
          <w:b/>
        </w:rPr>
        <w:t>E. 2.2.1</w:t>
      </w:r>
    </w:p>
    <w:p>
      <w:r>
        <w:t>En l’espèce, la condition objective des deux tiers de la peine prévue par l'art. 86 al. 1 CP sera réalisée dès le 29 novembre 2015.</w:t>
      </w:r>
    </w:p>
    <w:p>
      <w:r>
        <w:rPr>
          <w:b/>
        </w:rPr>
        <w:t>E. 2.2.2</w:t>
      </w:r>
    </w:p>
    <w:p>
      <w:r>
        <w:t>Dans les rapports des établissements de détention, D.________ est décrit comme une personne très arrogante, malhonnête, très demandeuse, ayant de la peine à gérer sa frustration et à se soumettre au cadre ainsi qu’au règlement fixé. Il y est également indiqué que son attitude au travail peut être autant négative que positive et que sur la durée ses prestations tendent à la baisse, le rapport de travail devenant en outre de plus en plus difficile. Le comportement du condamné n’est donc pas bon. Toutefois, celui-ci n’atteint pas le degré de gravité interdisant d'emblée d'envisager la libération conditionnelle, le Tribunal fédéral ayant précisé à cet égard (ATF 119 IV 5 précité consid. 1a/bb) que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Les comportements reprochés au condamné doivent cependant être pris en considération dans l'établissement du pronostic (ibidem).</w:t>
      </w:r>
    </w:p>
    <w:p>
      <w:r>
        <w:rPr>
          <w:b/>
        </w:rPr>
        <w:t>E. 2.2.3</w:t>
      </w:r>
    </w:p>
    <w:p>
      <w:r>
        <w:t>A cet égard, il y a lieu de constater, à l’instar du Ministère public, que le pronostic à poser quant à la conduite future de D.________ est clairement défavorable. En effet, son casier judiciaire fait état de quatre condamnations pour notamment une infraction contre l’intégrité sexuelle, de nombreuses infractions contre le patrimoine, des violations de domicile ainsi que des délits et contraventions à la Loi fédérale sur les stupéfiants. Condamné en 2011 à une peine privative de liberté de 20 mois avec sursis pendant cinq ans, il n’a pas hésité à récidiver dans le même genre d’infraction et même plus gravement durant le délai d’épreuve. A ce sujet, devant la Juge d’application des peines, il n’a émis aucun regret et a estimé avoir été condamné à tort. Ce comportement démontre une totale absence de prise de conscience quant aux infractions commises, ce qui met en évidence un manque patent d’amendement. En outre, la Cour de céans doit se référer à l’expertise psychiatrique du 22 mai 2015, qui a conclu que le risque de récidive était élevé et que seules des mesures d’encadrement médico-psycho-sociales étaient à même de diminuer ce risque, le désœuvrement et l’inactivité représentant un facteur de risque spécifique chez l’intéressé. A ce sujet, bien que le condamné ait déclaré devant la Juge d’application des peines qu’un traitement ambulatoire servirait à le décharger, il n’a présenté aucun projet concret ou abouti pour la mise en œuvre d’un tel suivi lors de sa sortie. Il n’a pas non plus démontré de réelle motivation de réinsertion professionnelle, se contentant d’affirmer avoir l’intention de reprendre ses recherches pour une place d’apprentissage et vouloir loger dans un hôtel en attendant de trouver un studio. A ce jour, l’encadrement indispensable tel que préconisé par l’expert est donc inexistant. On doit dès lors considérer que si D.________ devait être libéré conditionnellement au 29 novembre prochain, la perspective qu’il commette de nouvelles infractions serait bien réelle. A cela s’ajoute le mauvais comportement du condamné en détention (cf. ch. 2.2.2 supra), qui est également un élément négatif à prendre en compte. Au vu de ces éléments, c’est clairement un pronostic défavorable qui doit être posé quant au comportement futur de D.________. La position de la Juge d’application des peines, qui a considéré qu’un élargissement anticipé serait plus opportun que l’exécution complète des peines dans la mesure où il permettrait d’exercer un certain contrôle sur le condamné, ne peut être suivie, de sorte que la libération conditionnelle doit être refusée au condamné.</w:t>
      </w:r>
    </w:p>
    <w:p>
      <w:r>
        <w:rPr>
          <w:b/>
        </w:rPr>
        <w:t>E. 3</w:t>
      </w:r>
    </w:p>
    <w:p>
      <w:r>
        <w:t>Par conséquent, le recours du Ministère public central doit être admis et l’ordonnance attaquée réformée dans le sens exposé ci-dessus. Les frais de la procédure de recours, constitués en l'espèce de l'émolument d'arrêt, par 1’100 fr. (art. 20 al. 1 TFIP [Tarif des frais de procédure et indemnités en matière pénale du 28 septembre 2010; RSV 312.03.1]), seront mis à la charge de D.________, qui succombe (art. 428 al. 1 CPP). Par ces motifs, la Chambre des recours pénale prononce : I. Le recours est admis. II. L’ordonnance du 12 octobre 2015 est annulée et il est statué à nouveau comme il suit : I. La libération conditionnelle est refusée à D.________. II. Les frais sont laissés à la charge de l’Etat. III. Les frais d’arrêt, par 1’100 fr. (mille cent francs), sont mis à la charge de D.________. IV. Le présent arrêt est exécutoire. Le président :               La greffière : Du Le présent arrêt, dont la rédaction a été approuvée à huis clos, est notifié, par l'envoi d'une copie complète, à : - M. D.________, - Ministère public central ; et communiqué à : ‑ Mme la Juge d’application des peines, - Monsieur le Procureur du Ministère public central, division affaires spéciales, contrôle et mineurs, - Office d’exécution des peines (OEP/PPL/66535/VRI/SMS), - Prison de La Croisée, - Service de la population, secteur Etrangers,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