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811 vom 28. Oktober 2015</w:t>
      </w:r>
    </w:p>
    <w:p>
      <w:r>
        <w:t>VD Tribunal cantonal, 2015-10-28, FR</w:t>
      </w:r>
    </w:p>
    <w:p>
      <w:r>
        <w:rPr>
          <w:b/>
        </w:rPr>
        <w:t xml:space="preserve">Quelle: </w:t>
      </w:r>
      <w:r>
        <w:t>https://mcp.opencaselaw.ch/entscheid/vd_findinfo_D_cision___2015___811</w:t>
      </w:r>
    </w:p>
    <w:p>
      <w:r>
        <w:t>FR: VD_FINDINFO Décision / 2015 / 811 du 28 octobre 2015</w:t>
      </w:r>
    </w:p>
    <w:p>
      <w:r>
        <w:t>IT: VD_FINDINFO Décision / 2015 / 811 del 28 ottobre 2015</w:t>
      </w:r>
    </w:p>
    <w:p>
      <w:pPr>
        <w:pStyle w:val="Heading2"/>
      </w:pPr>
      <w:r>
        <w:t>Regeste</w:t>
      </w:r>
    </w:p>
    <w:p>
      <w:r>
        <w:t>CLASSEMENT DE LA PROCÉDURE, QUALITÉ POUR RECOURIR, LÉSÉ, LÉSION CORPORELLE | 117 CPP (CH), 319 al. 1 CPP (CH), 382 al. 1 CPP (CH)</w:t>
      </w:r>
    </w:p>
    <w:p>
      <w:pPr>
        <w:pStyle w:val="Heading2"/>
      </w:pPr>
      <w:r>
        <w:t>Erwägungen</w:t>
      </w:r>
    </w:p>
    <w:p>
      <w:r>
        <w:rPr>
          <w:b/>
        </w:rPr>
        <w:t>E. 1</w:t>
      </w:r>
    </w:p>
    <w:p>
      <w:r>
        <w:t>CPP)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est déposé en temps utile; il satisfait en outre aux autres conditions légales (art. 385 al. 1 CPP), de sorte qu’il est recevable en la forme.</w:t>
      </w:r>
    </w:p>
    <w:p>
      <w:r>
        <w:rPr>
          <w:b/>
        </w:rPr>
        <w:t>E. 2.1</w:t>
      </w:r>
    </w:p>
    <w:p>
      <w:r>
        <w:t>C.U.________ agit en sa double qualité de prévenu et de partie plaignante.</w:t>
      </w:r>
    </w:p>
    <w:p>
      <w:r>
        <w:rPr>
          <w:b/>
        </w:rPr>
        <w:t>E. 2.2</w:t>
      </w:r>
    </w:p>
    <w:p>
      <w:r>
        <w:t>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Toutefois, un intérêt de fait ne suffit pas à conférer la qualité pour recourir (ATF 133 IV 121 consid. 1.2; Calame, in : Kuhn/Jeanneret (éd.), Commentaire romand, Code de procédure pénale suisse, Bâle 2011, n. 1 et 2 ad art. 382 CPP; Lieber, in : Donatsch/ Hansjakob/Lieber(éd.),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Lieber, op. et loc. cit.; Schmid, Schweizerische Strafprozessordnung, Praxiskommentar, 2 e éd., Zurich/St-Gall 2013,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(Calame, op. et loc. cit.; ATF 131 IV 191 consid. 1.2), car il n’a pas forcément un intérêt juridiquement protégé à obtenir la condamnation ou même la participation au procès d’un coprévenu lorsque celui-ci a été libéré, la notion de compensation de fautes n’existant pas en droit pénal (cf. CREP 4 décembre 2013/717 et CREP 19 août 2015/553 ; Schmid, Handbuch des schweizerischen Strafprozessrechts, 2 e éd., Zurich 2013, n. 1461). En l’occurrence, comme le relève le recourant, le classement est susceptible de l’atteindre dans ses droits par effet réflexe, mais cela ne suffit pas, comme on vient de le voir, pour admettre qu’il a, en qualité de prévenu, un intérêt juridiquement protégé à recourir. Il ne peut ainsi se prévaloir de ce statut pour justifier la recevabilité de son recours.</w:t>
      </w:r>
    </w:p>
    <w:p>
      <w:r>
        <w:rPr>
          <w:b/>
        </w:rPr>
        <w:t>E. 2.3</w:t>
      </w:r>
    </w:p>
    <w:p>
      <w:r>
        <w:t>L’art. 117 al. 3 CPP prévoit toutefois que lorsque les proches de la victime se portent parties civiles contre les prévenus, ils jouissent des mêmes droits que la victime. Le proche de la victime est défini à l'art. 116 al. 2 CPP ; il s’agit notamment des père et mère de la victime. Selon la jurisprudence (ATF 139 IV 89 consid. 2.2 p. 91),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 e éd., Bâle 2014, n. 11 ad art. 115 CPP et n. 6 et 7 ad art. 117 CPP). Cette exigence est spécifique au proche de la victime et ne vaut pas pour le lésé ou la victime, lesquels peuvent en effet se constituer partie plaignante au pénal indépendamment de conclusions civiles (cf. art. 119 al. 2 CPP; TF 6B_160/2014 consid. 3.1 du 26 août 2014). En l’espèce, le fils de C.U.________ est une victime présumée au sens de l’art. 116 al. 1 CPP, de sorte que le recourant est un proche selon l’art. 116 al. 2 CPP. Celui-ci a par ailleurs déclaré vouloir participer à la procédure aux plans pénal et civil (cf. art. 118 al. 3 CPP) et a expressément annoncé son intention de prendre des conclusions civiles tant pour son fils que pour lui-même (P. 5, p. 4), ce qui suffit, au vu de la jurisprudence précitée, pour qu'on lui reconnaisse la qualité de partie plaignante et, partant, la qualité pour recourir (art. 382 al. 1 CPP). Le recours est recevable dans cette mesure.</w:t>
      </w:r>
    </w:p>
    <w:p>
      <w:r>
        <w:rPr>
          <w:b/>
        </w:rPr>
        <w:t>E. 3.1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op. cit.,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 qui ne figure pas expressément dans la loi mais se déduit indirectement des art. 324 al. 1 et 319 al. 1 CPP (ATF 137 IV 219 consid. 7; TF 1B_338/2011 du 24 novembre 2011 consid.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ATF 137 IV 285 consid. 2.5).</w:t>
      </w:r>
    </w:p>
    <w:p>
      <w:r>
        <w:rPr>
          <w:b/>
        </w:rPr>
        <w:t>E. 3.2</w:t>
      </w:r>
    </w:p>
    <w:p>
      <w:r>
        <w:t>En l’occurrence, le Ministère public a motivé le classement en faveur de F.________ par l’absence d’élément concret permettant d’admettre que celle-ci aurait commis des maltraitances à l’encontre de l’enfant du recourant. Le seul indice à sa charge est représenté par les accusations émanant de ce dernier, qui, selon le Procureur, a tout intérêt à faire reporter les soupçons sur un tiers. En outre, la prénommée bénéficie de renseignements très favorables donnés par une mère lui ayant confié ses enfants, celle-ci ayant même précisé avoir une confiance totale en l’intimée. Le recourant soutient que l’hypothèse de mauvais traitements par l’intimée ne pourrait pas être exclue. Sur ce point, il met en avant une soi-disant contradiction entre les déclarations de la jeune femme et les constatations faites par les éducateurs de la garderie sitôt après l’arrivée de l’’enfant. Selon lui, l’intimée aurait précisé n’avoir vu aucune marque de coup sur le corps de l’enfant pendant la douche et aurait remarqué une rougeur près de l’œil tout au plus, alors que le personnel de la garderie aurait rapidement et clairement décelé des marques de coups sur l’enfant. Or, comme le Procureur l’a relevé, F.________ a déclaré avoir immédiatement constaté la lésion au visage de l’enfant, puis, durant la douche, quelques rougeurs dans le dos et sur une jambe et/ou un bras (PV aud. 6, R. 15 ; PV aud. 9, lignes 60 ss). Elle a précisé qu’elle avait questionne à deux reprises l’enfant au sujet de cette rougeur à l’œil. Elle a également confirmé que les images présentées par la police correspondaient à ses constatations, même si ces marques étaient rouges et non pas bleutées comme sur la photo, et qu’elle n‘avait pas vu autant de marques, ni fait attention aux griffures aux jambes (PV aud. 6, R. 18 et 20). Il n‘y a donc pas de contradiction dans les dépositions de l’intimée. En outre, mise à part l’argumentation du recourant sur ce point et quelques allégations gratuites sur la formation et l’intégration en Suisse de l’intimée, l’intéressé ne met pas en avant un quelconque indice concret incitant à supposer que la jeune femme puisse être à l’origine des blessures constatées. Entendues par la police, tant [...], Directrice du [...] de [...], que [...], assistante sociale au SPJ, se sont dites surprises par le comportement de C.U.________, qui se serait montré indifférent et n’avait pas cherché à connaître l’origine des marques constatées sur son fils lorsqu’il aurait été contacté par téléphone le matin du 4 avril 2014 par le SPJ (PV aud. 5, R. 13), ni même lorsqu’il avait rejoint son fils à l’hôpital peu après (PV aud. 1, R. 20), mais aurait plutôt eu une attitude accusatrice envers le personnel de la garderie, le soupçonnant d’être l’auteur des bleus. Quant au comportement de F.________ à son arrivée à la crèche avec B.U.________, un des éducateurs de la garderie a expliqué que la prévenue, qui paraissait surprise à la vue des nombreuses marques présentes sur le corps de l’enfant, aurait répondu qu’elle ne savait pas ce qui s’était passé et que l’enfant était déjà comme cela lorsqu’elle était allée le chercher au domicile de son père (PV aud. 3, R. 11 et 17). Certains éducateurs ont par ailleurs décrit le recourant comme quelqu'un de suspicieux et méfiant à leur égard (PV aud. 2, R. 18 et 29; PV aud. 3, R. 22), parfois agressif verbalement envers B.U.________ (PV aud. 2, R. 29), bien que "présent" et "intéressé à son fils" (PV aud 3, R. 20; PV aud. 8; R. 22), et ont précisé qu'il leur était déjà arrivé, avant les événements du 4 avril 2014, de remarquer que ce dernier portait des hématomes ou des bleus, notamment sur son visage (PV aud. 2, R. 17; PV aud. 3, R. 19). Une autre éducatrice a décrit un épisode survenu en juin 2013 au cours duquel le recourant, à son arrivée à la crèche, aurait fait tomber son fils de ses bras, selon les explications rapportées par le plaignant lui-même, et aurait dit "c'est bien fait pour lui" (PV aud. 8, R. 11). Deux des éducateurs ont indiqué que, selon eux, l'intéressé avait besoin d'aide et paraissait dépassé par son fils (PV aud. 2, R. 30; PV aud. 8, R. 15). Enfin, le Directeur du foyer où B.U.________ est placé depuis avril 2014 a confirmé avoir une fois constaté des bleus sur les mollets de l'enfant et a fait état des difficultés que le recourant avait à poser un cadre et des limites à son fils, tout en évoquant "le bon lien" entre les deux (PV aud. 4, R. 24). Tous ces témoignages suscitent des interrogations sur l‘attitude générale et la personnalité du recourant, ainsi que sur sa réaction le jour en question, ce qui renforce indirectement l’absence d’élément à la charge de l’intimée, le seul témoignage la concernant directement, émanant d’une mère lui ayant confié ses enfants, lui étant au demeurant très favorable (PV aud. 11). Pour le surplus, les griefs du recourant et ses réquisitions de preuves ne concernent pas l'intimée mais sa propre situation et celle de la garderie. Ils ne sont donc pas pertinents en l'espèce.</w:t>
      </w:r>
    </w:p>
    <w:p>
      <w:r>
        <w:rPr>
          <w:b/>
        </w:rPr>
        <w:t>E. 3.3</w:t>
      </w:r>
    </w:p>
    <w:p>
      <w:r>
        <w:t>Il résulte de ce qui précède que les perspectives d’une condamnation paraissent manifestement inférieures à celles d’une libération en cas de renvoi en jugement de l’intimée. Le classement de la procédure pénale dirigée contre F.________ échappe ainsi à la critique.</w:t>
      </w:r>
    </w:p>
    <w:p>
      <w:r>
        <w:rPr>
          <w:b/>
        </w:rPr>
        <w:t>E. 4</w:t>
      </w:r>
    </w:p>
    <w:p>
      <w:r>
        <w:t>En définitive, le recours, manifestement mal fondé, doit être rejeté sans autre échange d'écritures (art. 390 al. 2 CPP), dans la mesure où il est recevable (cf. consid. 2.3 supra ), et l'ordonnance attaquée confirmée. Me Olivier Carré n'a droit à aucune indemnité, ayant été désigné, le 23 mai 2014, comme défenseur d'office (art. 132 CPP) et non comme conseil juridique gratuit de C.U.________ (art. 136 CPP), dont le recours n'est, comme on l'a vu, recevable que dans la mesure où l'intéressé agit en qualité de partie plaignante. Au demeurant, les conditions auxquelles la loi subordonne la désignation d'un conseil juridique gratuit à la partie plaignante ne sont pas réalisées (art. 136  al. 1 let. b et al. 2 let. c CPP), le recours apparaissant d’emblée dénué de chances de succès (CREP 4 mai 2015/304 consid. 3 ; CREP 19 mars 2012/244 consid. 3). Les frais de la procédure de recours, constitués du seul émolument d'arrêt (art. 422 al. 1 CPP), par 1'100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30 septembre 2015 est confirmée. III. Les frais d’arrêt, par 1'100 fr. (mille cent francs), sont mis à la charge de C.U.________. IV. Le présent arrêt est exécutoire. Le président :               Le greffier : Du Le présent arrêt, dont la rédaction a été approuvée à huis clos, est notifié, par l'envoi d'une copie complète, à : ‑ Me Olivier Carré, avocat (pour C.U.________), - Mme F.________, - Me Lorenzo Dahler, avocat-stagiaire (pour B.U.________), - Ministère public central, et communiqué à : - M. le Procureur de l'arrondissement de Lausanne, - Service de protection de la jeunesse (réf. 23345284/CBD), par l’envoi de photocopies. Le présent arrêt peut faire l'objet d'un recours en matière pénale devant le Tribunal fédéral au sens des art. 78ss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