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809 vom 26. Oktober 2015</w:t>
      </w:r>
    </w:p>
    <w:p>
      <w:r>
        <w:t>VD Tribunal cantonal, 2015-10-26, FR</w:t>
      </w:r>
    </w:p>
    <w:p>
      <w:r>
        <w:rPr>
          <w:b/>
        </w:rPr>
        <w:t xml:space="preserve">Quelle: </w:t>
      </w:r>
      <w:r>
        <w:t>https://mcp.opencaselaw.ch/entscheid/vd_findinfo_D_cision___2015___809</w:t>
      </w:r>
    </w:p>
    <w:p>
      <w:r>
        <w:t>FR: VD_FINDINFO Décision / 2015 / 809 du 26 octobre 2015</w:t>
      </w:r>
    </w:p>
    <w:p>
      <w:r>
        <w:t>IT: VD_FINDINFO Décision / 2015 / 809 del 26 ottobre 2015</w:t>
      </w:r>
    </w:p>
    <w:p>
      <w:pPr>
        <w:pStyle w:val="Heading2"/>
      </w:pPr>
      <w:r>
        <w:t>Regeste</w:t>
      </w:r>
    </w:p>
    <w:p>
      <w:r>
        <w:t>CLASSEMENT DE LA PROCÉDURE, RÉSECTION MAMMAIRE, CONSENTEMENT DU LÉSÉ, PATIENT | 125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2.2</w:t>
      </w:r>
    </w:p>
    <w:p>
      <w:r>
        <w:t>En substance, la plaignante soutient que son consentement n'était pas libre et éclairé s’agissant des instructions qui l’ont amenée à se faire opérer. En particulier, elle reproche aux docteurs L.________, D.________ et Z.________ de l’avoir mal informée en lui faisant croire qu’elle souffrait d’un cancer et de l’avoir incitée à subir une mastectomie bilatérale alors qu’elle souffrait d’une hyperplasie globulaire atypique du sein droit et que son sein gauche n’était atteint d’aucune lésion. Elle reproche également au Dr D.________ de lui avoir posé des prothèses à valves, alors qu’il lui avait garanti qu’il allait lui poser des prothèses définitives, ce qui a engendré des difficultés supplémentaires et une nouvelle opération. Enfin, elle reproche au Dr Z.________ de s’être retiré, à son insu, de l’équipe opératoire alors qu’il aurait pertinemment su que sa présence était la condition qui avait prévalu au choix de la Clinique [...].</w:t>
      </w:r>
    </w:p>
    <w:p>
      <w:r>
        <w:rPr>
          <w:b/>
        </w:rPr>
        <w:t>E. 2.3.1</w:t>
      </w:r>
    </w:p>
    <w:p>
      <w:r>
        <w:t>L'art.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 ATF 134 IV 255 consid. 4.2.3 ; ATF 129 IV 119 consid. 2.1). Pour déterminer plus précisément les devoirs imposés par la prudence, on peut se référer à des normes édictées par l'ordre juridique pour assurer la sécurité et éviter les accidents.</w:t>
      </w:r>
    </w:p>
    <w:p>
      <w:r>
        <w:rPr>
          <w:b/>
        </w:rPr>
        <w:t>E. 2.3.2</w:t>
      </w:r>
    </w:p>
    <w:p>
      <w:r>
        <w:t>L'art. 122 CP dispose que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dix ans au plus ou d'une peine pécuniaire de 180 jours-amende au moins. La mutilation au sens de l'art. 122 al. 2 CP se caractérise par la perte définitive d'un membre ou d'un organe important. Savoir si un membre ou un organe peut être qualifié d'important dépend d'une appréciation mêlant des critères objectifs et subjectifs en lien avec la situation et la profession de la victime (Dupuis et al., Petit commentaire du Code pénal, Bâle 2012, nn. 11 et 12 ad art. 122 CP)</w:t>
      </w:r>
    </w:p>
    <w:p>
      <w:r>
        <w:rPr>
          <w:b/>
        </w:rPr>
        <w:t>E. 2.3.3</w:t>
      </w:r>
    </w:p>
    <w:p>
      <w:r>
        <w:t>Les interventions médicales réalisent les éléments constitutifs objectifs d’une lésion corporelle en tout cas si elles touchent une partie du corps (par exemple lors d’une amputation) ou si elles lèsent ou diminuent, de manière non négligeable et au moins temporairement, les aptitudes ou le bien-être physiques du patient. Cela vaut même si ces interventions étaient médicalement indiquées et pratiquées dans les règles de l’art.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consid. 2 ; CREP 31 mai 2013/436).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Il faut, d’autre part, que la capacité de discernement du patient lui permette de se déterminer sur la base des informations reçues (ATF 134 II 235 consid. 4.1). A la différence de la procédure civile, en procédure pénale, il incombe à l’accusation de prouver une violation du devoir d’information du médecin (TF 6B_640/2007 du 11 février 2008 consid. 3.1 ; TF 1P.71/2007 du 12 juillet 2007 consid. 3.3 et les références citées). Le fardeau de la preuve du consentement éclairé du patient, en tant qu’il constitue un fait objectif, incombe à l’accusé qui y satisfait déjà en rendant vraisemblables ses allégations (TF 6B_869/2010 du 16 septembre 2011 consid. 4.5 ; TF 1P.71/2007 du 12 juillet 2007 consid. 3.3 et les références citées).</w:t>
      </w:r>
    </w:p>
    <w:p>
      <w:r>
        <w:rPr>
          <w:b/>
        </w:rPr>
        <w:t>E. 2.4</w:t>
      </w:r>
    </w:p>
    <w:p>
      <w:r>
        <w:t>En l’espèce, il apparaît clairement que le dossier est lacunaire, la Procureure s'étant uniquement fondée sur les propres déclarations des médecins concernés. En outre, elle n’a pas tenu compte de plusieurs indices troublants. En effet, les dossiers médicaux de la recourante ne comportent aucun formulaire signé par celle-ci faisant état de la nature des informations qui lui ont été données et de son consentement portant sur la lourde opération envisagée. Le Ministère public central met en avant les différents entretiens que les médecins ont menés avec leur patiente. Toutefois cela n’est pas suffisant pour conclure que la recourante a donné son accord sur la base d’une information complète. En particulier, on sait maintenant, après analyse des tissus prélevés, que seul le sein droit de la patiente méritait une attention sans pour autant que la situation puisse être décrite comme alarmante. De plus, il ressort de la lettre du 6 novembre 2007 du médecin traitant de la plaignante que le diagnostic de suspicion du cancer du sein lui avait été confirmé par la DresseL.________ (P4/8), ce qui tend à prouver que la situation n’était pas claire. Dans ce contexte, seule une expertise médicale permettra de déterminer s’il se justifiait réellement de procéder d’emblée à une mastectomie bilatérale. De surcroît, la preuve du consentement éclairé de la patiente – qui doit d’ailleurs être apportée par les médecins – pose problème et, à ce stade, on peut sérieusement se demander si la recourante a réellement pris sa décision sur la base d’une présentation complète de la situation et des différentes alternatives qui se présentaient à elle. En outre, on relèvera que les motifs du désistement du Dr Z.________ ne sont pas clairs et constituent un indice supplémentaire quant à un réel problème de communication des trois médecins avec la plaignante. Il s'ensuit qu'à ce stade l'on ne saurait exclure l'application de l'art. 122 al. 2 CP (lésions corporelles graves). En effet, si l'instruction établit que les médecins n'ont pas proposé l'option médicale la moins lourde à la plaignante et qu'ils n'ont pas obtenu son consentement libre et éclairé s'agissant d'une double mastectomie, l'ablation des deux seins de la recourante pourrait constituer l'infraction de lésions corporelles graves (Roth/Berkemeier, in : Basler Kommentar, Strafrecht II, 3 e éd., Bâle 2013, n. 27 ad art. 122 CPP. Dans ces conditions, force est de constater que c’est à tort que le Ministère public central a classé la procédure et qu’il se justifie de l'enjoindre de compléter son enquête, notamment en ordonnant une expertise médicale et en procédant à des investigations sur la nature des instructions médicales données à la recourante, sur l'étendue réelle de sa compréhension de son état de santé et sur le processus ayant conduit à son consentement.</w:t>
      </w:r>
    </w:p>
    <w:p>
      <w:r>
        <w:rPr>
          <w:b/>
        </w:rPr>
        <w:t>E. 3</w:t>
      </w:r>
    </w:p>
    <w:p>
      <w:r>
        <w:t>En définitive, le recours doit être admis et l’ordonnance attaquée annulée. Le dossier de la cause sera renvoyé au Ministère public pour qu’il procède dans le sens des considérants ci-dessus (cf. art. 397 al. 3 CPP). Les frais de la procédure de recours, constitués en l'espèce du seul émolument d'arrêt, par 1'100 fr. (art. 20 al. 1 TFIP [tarif des frais judiciaires de procédure et indemnités en matière pénale du 28 septembre 2010; RSV 312.03.1]), seront laissés à la charge de l’Etat (art. 423 al. 1 CPP). Par ces motifs, la Chambre des recours pénale prononce : I. Le recours est admis. II. L’ordonnance du 16 juillet 2015 est annulée. III. Le dossier de la cause est renvoyé au Ministère public pour qu'il procède dans le sens des considérants. IV. Les frais du présent arrêt, par 1'100 fr. (mille cent francs), sont laissés à la charge de l’Etat. V. Le présent arrêt est exécutoire. Le président :               La greffière : Du Le présent arrêt, dont la rédaction a été approuvée à huis clos, est notifié, par l'envoi d'une copie complète, à : - M. Laurent Nephtali, avocat (pour X.________), - Ministère public central, et communiqué à : - Mme la Procureure du Ministère public central, division affaires spéciales, contrôle et mineurs, - Clinique [...], - Hôpital [...], -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