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799 vom 3. November 2015</w:t>
      </w:r>
    </w:p>
    <w:p>
      <w:r>
        <w:t>VD Tribunal cantonal, 2015-11-03, FR</w:t>
      </w:r>
    </w:p>
    <w:p>
      <w:r>
        <w:rPr>
          <w:b/>
        </w:rPr>
        <w:t xml:space="preserve">Quelle: </w:t>
      </w:r>
      <w:r>
        <w:t>https://mcp.opencaselaw.ch/entscheid/vd_findinfo_D_cision___2015___799</w:t>
      </w:r>
    </w:p>
    <w:p>
      <w:r>
        <w:t>FR: VD_FINDINFO Décision / 2015 / 799 du 3 novembre 2015</w:t>
      </w:r>
    </w:p>
    <w:p>
      <w:r>
        <w:t>IT: VD_FINDINFO Décision / 2015 / 799 del 3 novembre 2015</w:t>
      </w:r>
    </w:p>
    <w:p>
      <w:pPr>
        <w:pStyle w:val="Heading2"/>
      </w:pPr>
      <w:r>
        <w:t>Regeste</w:t>
      </w:r>
    </w:p>
    <w:p>
      <w:r>
        <w:t>DÉTENTION PROVISOIRE, RISQUE DE FUITE, RISQUE DE RÉCIDIVE |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consid. 3c ; TF 1B_423/2010 du 17 janvier 2011 c. 4.1 ; Piquerez, Traité de procédure pénale suisse, 2 e éd., Zurich 2006, n. 845 ; Schmocker, op. cit., n. 8 ad art. 221 CPP, p. 1025 : Forster, in : Niggli/Heer/Wiprächtiger [éd.], Basler Kommentar, Schweizerische Strafprozessordnung,</w:t>
      </w:r>
    </w:p>
    <w:p>
      <w:r>
        <w:rPr>
          <w:b/>
        </w:rPr>
        <w:t>E. 2.2</w:t>
      </w:r>
    </w:p>
    <w:p>
      <w:r>
        <w:t>Il ressort du dossier que le prévenu et son acolyte ont été interpellés à Saint-Prex, soit à proximité du lieu où un cambriolage avait été signalé peu auparavant par une habitante du voisinage. Le prévenu était en possession de plusieurs objets de provenance douteuse ainsi que de matériel pouvant servir à commettre des cambriolages. Il apparaît que des débris d’une tirelire, subtilisée à sa propriétaire plus tôt dans la soirée, ont également été retrouvés dans le véhicule dans lequel se trouvaient le prévenu et son comparse. G.________ a d’ailleurs donné des explications peu crédibles sur sa présence dans ce quartier. En outre, l’habitante du voisinage ayant donné l’alerte à la police a précisé que l’individu suspect qu’elle avait aperçu portait une veste beige avec un col blanc. Cette description correspond en tout point à celle de la veste que portait le prévenu lors de son appréhension. Enfin, le prévenu est signalé au RIPOL pour une interdiction d’entrée en Suisse ayant débuté le 9 août 2011 et prenant fin le 8 août 2016. Au vu de ce qui précède, il existe à ce stade de l’enquête des soupçons suffisamment sérieux de culpabilité à l’encontre de G.________.</w:t>
      </w:r>
    </w:p>
    <w:p>
      <w:r>
        <w:rPr>
          <w:b/>
        </w:rPr>
        <w:t>E. 3</w:t>
      </w:r>
    </w:p>
    <w:p>
      <w:r>
        <w:t>Le recourant conteste le risque de fuite (art. 221 al. 1 let. a CPP).</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 En l’espèce, le prévenu, ressortissant kosovar, n’a aucun titre de séjour, ni aucune attache avec la Suisse. En l’absence de lien solide avec notre pays, il est fortement à craindre, au vu de la peine qu’il encourt en cas de condamnation, qu’il cherche à se soustraire aux poursuites engagées contre lui en disparaissant dans la clandestinité. Par conséquent, le risque de fuite est concret.</w:t>
      </w:r>
    </w:p>
    <w:p>
      <w:r>
        <w:rPr>
          <w:b/>
        </w:rPr>
        <w:t>E. 3.2</w:t>
      </w:r>
    </w:p>
    <w:p>
      <w:r>
        <w:t>Le recourant conteste également le risque de récidive (art. 221 al. 1 let. c CPP). Le maintien en détention ne peut se justifier en raison d’un risque de réitération que si le pronostic est très défavorable et si les délits dont l'autorité redoute la réitération sont graves (ATF 137 IV 84 consid. 4.5, JT 2011 IV 325; ATF 135 I 71 consid. 2.3; ATF 133 I 270 consid. 2.2 et les arrêts cités, JT 2011 IV 3;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consid.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 En l’espèce, il ressort du casier judiciaire suisse du prévenu qu’il a été condamné le 13 avril 2014 par le Ministère public de l’arrondissement de Lausanne, le 12 juin 2013 par le Tribunal correctionnel de l’arrondissement de Lausanne et le 2 mars 2015 par le Ministère public de l’arrondissement du Nord vaudois pour des infractions similaires à celles qui lui sont à nouveau reprochées. Force est de constater que le prévenu n’a eu de cesse de récidiver malgré les condamnations et que dans ces conditions, le risque de réitération apparaît établi.</w:t>
      </w:r>
    </w:p>
    <w:p>
      <w:r>
        <w:rPr>
          <w:b/>
        </w:rPr>
        <w:t>E. 3.3</w:t>
      </w:r>
    </w:p>
    <w:p>
      <w:r>
        <w:t>Le recourant conteste finalement le risque de collusion. Celui-ci n’a pas été retenu par le premier juge et ne sera donc pas examiné dans le cas présent. En effet, les conditions de l’art. 221 al. 1 CPP n’étant pas des conditions cumulatives, la réalisation d’un seul risque suffit à justifier la détention provisoire.</w:t>
      </w:r>
    </w:p>
    <w:p>
      <w:r>
        <w:rPr>
          <w:b/>
        </w:rPr>
        <w:t>E. 4</w:t>
      </w:r>
    </w:p>
    <w:p>
      <w:r>
        <w:t>Au vu de la situation personnelle du recourant, aucune mesure de substitution n’est à même de prévenir les risques retenus. Le recourant n’en propose du reste aucune. Le maintien de G.________ en détention provisoire est ainsi justifié.</w:t>
      </w:r>
    </w:p>
    <w:p>
      <w:r>
        <w:rPr>
          <w:b/>
        </w:rPr>
        <w:t>E. 5</w:t>
      </w:r>
    </w:p>
    <w:p>
      <w:r>
        <w:t>Le recourant invoque une violation du principe de la proportionnalité (art. 212 al. 3 CPP).</w:t>
      </w:r>
    </w:p>
    <w:p>
      <w:r>
        <w:rPr>
          <w:b/>
        </w:rPr>
        <w:t>E. 5.1</w:t>
      </w:r>
    </w:p>
    <w:p>
      <w:r>
        <w:t>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5.2</w:t>
      </w:r>
    </w:p>
    <w:p>
      <w:r>
        <w:t>En l’espèce, G.________ est détenu depuis le 18 octobre 2015, soit depuis moins d’un mois. Compte tenu des actes qui lui sont reprochés et de ses antécédents judiciaires en la matière, le recourant s’expose à une peine privative de liberté d’une durée supérieure à celle de la détention provisoire subie à ce jour. La détention a d’ailleurs été limitée à un mois par le premier juge. Au vu de ces éléments, le principe de la proportionnalité de la détention provisoire demeure respecté.</w:t>
      </w:r>
    </w:p>
    <w:p>
      <w:r>
        <w:rPr>
          <w:b/>
        </w:rPr>
        <w:t>E. 6</w:t>
      </w:r>
    </w:p>
    <w:p>
      <w:r>
        <w:t>Il résulte de ce qui précède que le recours, manifestement mal fondé, doit être rejeté, sans autres échanges d’écritures (art. 390 al. 2 CPP). Les frais de la procédure de recours, constitués en l’espèce de l’émolument d'arrêt, par 770 fr. (art. 20 al. 1 [tarif des frais judiciaires de procédure et indemnités en matière pénale du 28 septembre 2010; RSV 312.03.1]), et des frais imputables à la défense d’office (art. 422 al. 1 et 2 let. a CPP), fixés à 360 fr., plus la TVA par 28 fr. 80, soit un total de 388 fr. 80, seront mis à la charge de G.________,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21 octobre 2015 est confirmée. III. L’indemnité allouée au défenseur d’office de G.________ est fixée à 388 fr. 80 (trois cent huitante-huit francs et huitante centimes). IV. Les frais d’arrêt, par 770 fr. (sept cent septante francs), ainsi que l’indemnité due au défenseur d’office de G.________, par 388 fr. 80 (trois cent huitante-huit francs et huitante centimes), sont mis à la charge de ce dernier. V. Le remboursement à l’Etat de l’indemnité allouée au chiffre III ci-dessus ne sera exigible que pour autant que la situation économique de G.________ se soit améliorée. VI. Le présent arrêt est exécutoire. Le président :               La greffière : Du Le présent arrêt, dont la rédaction a été approuvée à huis clos, est notifié, par l'envoi d'une copie complète, à : - M. Julien Gafner, avocat (pour G.________),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