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798 vom 28. September 2015</w:t>
      </w:r>
    </w:p>
    <w:p>
      <w:r>
        <w:t>VD Tribunal cantonal, 2015-09-28, FR</w:t>
      </w:r>
    </w:p>
    <w:p>
      <w:r>
        <w:rPr>
          <w:b/>
        </w:rPr>
        <w:t xml:space="preserve">Quelle: </w:t>
      </w:r>
      <w:r>
        <w:t>https://mcp.opencaselaw.ch/entscheid/vd_findinfo_D_cision___2015___798</w:t>
      </w:r>
    </w:p>
    <w:p>
      <w:r>
        <w:t>FR: VD_FINDINFO Décision / 2015 / 798 du 28 septembre 2015</w:t>
      </w:r>
    </w:p>
    <w:p>
      <w:r>
        <w:t>IT: VD_FINDINFO Décision / 2015 / 798 del 28 settembre 2015</w:t>
      </w:r>
    </w:p>
    <w:p>
      <w:pPr>
        <w:pStyle w:val="Heading2"/>
      </w:pPr>
      <w:r>
        <w:t>Regeste</w:t>
      </w:r>
    </w:p>
    <w:p>
      <w:r>
        <w:t>OPPOSITION TARDIVE, ORDONNANCE DE CONDAMNATION | 354 CPP (CH), 356 al. 2 CPP (CH), 393 al. 1 let. b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de l'extrait de la Poste relatif au suivi des envois que l'ordonnance pénale querellée a été notifiée à B.________ le 23 juillet 2015 (P. 11). Le délai pour former opposition au sens de l’art. 354 al. 1 CPP a donc commencé à courir le lendemain, soit le 24 juillet 2015, et il est arrivé à échéance le lundi 3 août 2015 (cf. art. 90 al. 2 CPP). Remise à la poste le 24 août 2015 (P. 10), l’opposition formée par B.________ est ainsi manifestement tardive. C’est donc à bon droit que le Tribunal de police de l’arrondissement de Lausanne l'a déclarée irrecevable. Le recourant ne conteste du reste pas la tardiveté de son opposition. Par ailleurs, il n’a pas demandé la restitution du délai ni ne prétend qu'il aurait été empêché sans sa faute d'agir (art. 94 al. 1 CPP). Il plaide le fond, soutenant qu’il avait acquis le téléphone portable litigieux en toute bonne foi. Or, dans la mesure où l'opposition, qui n'a pas été formée dans le délai légal, n'est pas recevable, le recourant ne peut remettre en cause l'ordonnance pénale à ce stade de la procédure.</w:t>
      </w:r>
    </w:p>
    <w:p>
      <w:r>
        <w:rPr>
          <w:b/>
        </w:rPr>
        <w:t>E. 3</w:t>
      </w:r>
    </w:p>
    <w:p>
      <w:r>
        <w:t>En définitive, le recours, manifestement mal fondé, doit être rejeté sans autre échange d’écritures (art. 390 al. 2 CPP) et le prononcé du 28 août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28 août 2015 est confirmé. III. Les frais de la procédure de recours, par 550 fr. (cinq cent cinquante francs), sont mis à la charge de B.________. IV. Le présent arrêt est exécutoire. Le président :               La greffière : Du Le présent arrêt, dont la rédaction a été approuvée à huis clos, est notifié, par l'envoi d'une copie complète, à : - M. B.________, - Ministère public central, et communiqué à : ‑ M. le Président du Tribunal de  l’arrondissement de Lausanne, - M. le Procureur de l’arrondissement de Lausanne, - Service de la population, secteur asile (21.11.1996),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