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795 vom 30. Oktober 2015</w:t>
      </w:r>
    </w:p>
    <w:p>
      <w:r>
        <w:t>VD Tribunal cantonal, 2015-10-30, FR</w:t>
      </w:r>
    </w:p>
    <w:p>
      <w:r>
        <w:rPr>
          <w:b/>
        </w:rPr>
        <w:t xml:space="preserve">Quelle: </w:t>
      </w:r>
      <w:r>
        <w:t>https://mcp.opencaselaw.ch/entscheid/vd_findinfo_D_cision___2015___795</w:t>
      </w:r>
    </w:p>
    <w:p>
      <w:r>
        <w:t>FR: VD_FINDINFO Décision / 2015 / 795 du 30 octobre 2015</w:t>
      </w:r>
    </w:p>
    <w:p>
      <w:r>
        <w:t>IT: VD_FINDINFO Décision / 2015 / 795 del 30 ottobre 2015</w:t>
      </w:r>
    </w:p>
    <w:p>
      <w:pPr>
        <w:pStyle w:val="Heading2"/>
      </w:pPr>
      <w:r>
        <w:t>Regeste</w:t>
      </w:r>
    </w:p>
    <w:p>
      <w:r>
        <w:t>LIBÉRATION CONDITIONNELLE, SÉJOUR ILLÉGAL, RÉCIDIVE{INFRACTION}, PRONOSTIC | 86 al. 1 CP, 26 al. 1 let. a LEP, 38 LEP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détenu qui a qualité pour recourir (art. 382 al. 1 CPP). Conforme aux exigences de motivation prévues par l’art. 385 al. 1 CPP, il est ainsi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Maire, La libération conditionnelle, in: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Lors de la révision du code pénal en 1971, l’exigence relative au comportement du détenu dans l’établissement pénitentiaire a été atténuée ; on se contente dorénavant d’exiger un comportement du détenu qui ne s’oppose pas à son élargissement.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interdit d'emblée d'envisager la libération conditionnelle, ils peuvent encore être pris en considération dans l'établissement du pronostic (ATF 119 IV 5 c. 1 a).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c. 2.3).</w:t>
      </w:r>
    </w:p>
    <w:p>
      <w:r>
        <w:rPr>
          <w:b/>
        </w:rPr>
        <w:t>E. 2.2</w:t>
      </w:r>
    </w:p>
    <w:p>
      <w:r>
        <w:t>Dans le cas d’espèce, D.________ a subi les deux tiers de sa peine le 22 octobre 2015. La première condition de l’art. 86 al. 1 CP est donc réalisée. En ce qui concerne la condition du bon comportement du recourant en détention, il y a lieu de relever toute une série de manquements et de sanctions disciplinaires. Malgré cela, le comportement du recourant en prison n’atteint pas le degré de gravité minimum pour refuser la libération conditionnelle à ce stade. Il sera néanmoins pris en considération dans le cadre du pronostic. Pour ce qui est du pronostic, le recourant est en situation illégale et fait l’objet d’une interdiction d’entrée en Suisse valable jusqu’au 13 janvier 2019. Après son refoulement, le recourant pourra loger dans l’appartement de ses parents au Portugal. Il n’en reste pas moins que le passé judiciaire du recourant est lourd. Il a été condamné à treize reprises entre 2007 et 2014. Dans ces circonstances, il y a lieu d’être plus exigeant au sujet des projets d’avenir présentés par le recourant. Or, D.________ n’a démontré aucune réelle motivation de réinsertion, ayant déclaré qu’il était mieux en prison, où il était nourri et soigné, plutôt qu’au Portugal. Au-delà de la recherche d’un emploi, c’est simplement une recherche d’activités que le recourant devrait mettre en place, afin d’éviter de retomber dans les situations qui l’ont conduit à récidiver. Or, à ce jour, il n’a fait aucune proposition en ce sens, alors même qu’il était nécessaire qu’il décrive au moins à quoi il avait l’intention de passer ses journées et alors même que son inactivité pourrait être un facteur de récidive. Au vu de ce qui précède, aucun pronostic favorable ne peut être posé s’agissant du comportement futur de D.________, ce dernier nécessitant d’être encadré de manière stricte pour ne pas récidiver. C’est donc à raison que le Juge d’application des peines a refusé d’accorder la libération conditionnelle à l’intéressé.</w:t>
      </w:r>
    </w:p>
    <w:p>
      <w:r>
        <w:rPr>
          <w:b/>
        </w:rPr>
        <w:t>E. 3</w:t>
      </w:r>
    </w:p>
    <w:p>
      <w:r>
        <w:t>Par conséquent, le recours doit être rejeté sans autres échanges d’écritures (art. 390 al. 2 CPP) et l’ordonnance du 19 octobre 2015 confirmée. Les frais de la procédure de recours, constitués en l’espèce de l’émolument d’arrêt, par 1’100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19 octobre 2015 est confirmée. III. Les frais d’arrêt, par 1'100 fr. (mille cent francs), sont mis à la charge de D.________. IV. Le présent arrêt est exécutoire. Le président :               La greffière : Du Le présent arrêt, dont la rédaction a été approuvée à huis clos, est notifié, par l'envoi d'une copie complète, à : - D.________, - Ministère public central, et communiqué à : - Mme le Juge d’application des peines, - M. le Procureur du Ministère public de l’arrondissement de La Côte, - Office d’exécution des peines (réf : OEP/PPL/30286/CGY/NJ), - direction de l’Etablissement de la plaine de l’Orbe, - Service de la population (secteur départ),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