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791 vom 28. Oktober 2015</w:t>
      </w:r>
    </w:p>
    <w:p>
      <w:r>
        <w:t>VD Tribunal cantonal, 2015-10-28, FR</w:t>
      </w:r>
    </w:p>
    <w:p>
      <w:r>
        <w:rPr>
          <w:b/>
        </w:rPr>
        <w:t xml:space="preserve">Quelle: </w:t>
      </w:r>
      <w:r>
        <w:t>https://mcp.opencaselaw.ch/entscheid/vd_findinfo_D_cision___2015___791</w:t>
      </w:r>
    </w:p>
    <w:p>
      <w:r>
        <w:t>FR: VD_FINDINFO Décision / 2015 / 791 du 28 octobre 2015</w:t>
      </w:r>
    </w:p>
    <w:p>
      <w:r>
        <w:t>IT: VD_FINDINFO Décision / 2015 / 791 del 28 ottobre 2015</w:t>
      </w:r>
    </w:p>
    <w:p>
      <w:pPr>
        <w:pStyle w:val="Heading2"/>
      </w:pPr>
      <w:r>
        <w:t>Regeste</w:t>
      </w:r>
    </w:p>
    <w:p>
      <w:r>
        <w:t>NON-LIEU, MENACE{DROIT PÉNAL}, CONTRAINTE{DROIT PÉNAL}, PERSÉCUTION, INSOUMISSION À UNE DÉCISION DE L'AUTORITÉ | 180 CP, 181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 RSV 173.01]).</w:t>
      </w:r>
    </w:p>
    <w:p>
      <w:r>
        <w:rPr>
          <w:b/>
        </w:rPr>
        <w:t>E. 1.2</w:t>
      </w:r>
    </w:p>
    <w:p>
      <w:r>
        <w:t>En l’espèce, le procès-verbal des opérations n’indique pas la date d’envoi de l’ordonnance, rendue le 18 août 2015, de sorte qu’il y a lieu d’admettre l’allégué du conseil de la recourante selon lequel il l’aurait reçue le 25 août 2015 (recours, p. 2). Le délai de recours a donc commencé à courir le lendemain, soit le 26 août 2015, pour venir à échéance le 4 septembre 2015. Déposé le 2 septembre 2015 devant l’autorité compétente par la partie plaignante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w:t>
      </w:r>
    </w:p>
    <w:p>
      <w:r>
        <w:t>En l’espèce, la recourante soutient tout d’abord que le Procureur aurait dû qualifier d'office les faits dénoncés et qu'il aurait dû y voir, dans un premier temps, une insoumission à une décision de l’autorité, dans la mesure où H.________ « importunait de manière régulière son épouse et faisait de surcroît l’objet d’une interdiction d’approcher », comme cela ressortait d’autres procédures pénales ouvertes à son encontre (recours, p. 4). S’il est vrai que la qualification juridique des faits décrits dans la plainte relève de la compétence de l’autorité pénale saisie, qui n’est aucunement liée par l'opinion de l'intéressé (ATF 115 IV 1 consid. 2a, JdT 1990 IV 109), ce devoir n’existe toutefois qu’en relation avec les faits faisant l’objet de la plainte en cause et non avec ceux résultant d’autres plaintes déjà déposées et qui suivent leur cours. La recourante est donc mal venue de prétendre (recours, p. 4), en se référant à d’autres enquêtes pénales ouvertes à l’encontre du prévenu, que celui-ci se serait rendu coupable d’insoumission à une décision de l’autorité en ne respectant pas l’interdiction de périmètre qui avait été ordonnée par prononcé de mesures protectrices de l’union conjugale de 2012 (P. 5/2.2.1). En ce qui concerne les faits survenus le 5 août 2015, ni la recourante, dans sa plainte déposée oralement à la police le soir même (P. 4), ni son conseil, dans son courrier du 10 août 2015 adressé au Ministère public et confirmant l’intention de sa cliente de déposer plainte, n’ont évoqué le fait que H.________ aurait, par son comportement, violé l’interdiction de s’approcher qui lui avait été faite à l’époque (P. 5/2.5). Il ne ressort d’ailleurs pas du jugement de divorce du 15 décembre 2014 produit à l’appui du recours (P. 5/2.2.2) que cette interdiction aurait été renouvelée au fond. C’est donc à juste titre que le Procureur n’a pas retenu l’infraction d’insoumission à une décision de l’autorité au sens de l’art. 292 CP (Code pénal suisse du 21 décembre 1937; RS 311.0). Il reste à examiner si les faits dénoncés par D.________ pourraient être constitutifs de menaces ou de contrainte, comme elle l’invoque.</w:t>
      </w:r>
    </w:p>
    <w:p>
      <w:r>
        <w:rPr>
          <w:b/>
        </w:rPr>
        <w:t>E. 3.1</w:t>
      </w:r>
    </w:p>
    <w:p>
      <w:r>
        <w:t>Se rend coupable de menaces (180 CP)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et TF 6B_435/2011 du 6 octobre 2011 consid.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consid. 1a). Subjectivement, l'auteur doit avoir l'intention non seulement de proférer des menaces graves, mais aussi d'alarmer ou d'effrayer le destinataire. Le dol éventuel suffit.</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 ATF 129 IV 6 consid. 3.4 ;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 ATF 120 IV 17 consid. 2a/aa). En outre, par « entraver de quelque autre manière dans la liberté d'action », il faut comprendre tout moyen de contrainte qui est semblable, par son intensité et ses effets, à celui que le texte légal mentionne expressément en parlant d'usage de la violence et qui, d'après l'interprétation de la notion de violence, peut y être assimilé (ATF 119 IV 301 consid. 2a, JdT 1995 IV 147; ATF 129 IV 262 consid. 2.1, JdT 2005 IV 207). Sur le plan subjectif, il faut que l’auteur ait agi avec conscience et volonté, soit au moins qu’il ait accepté l’éventualité que le procédé illicite employé entrave le destinataire dans sa liberté de décision (ATF 120 IV 17 consid. 2c ; TF 6B_38/2011 du 26 avril 2011 consid. 2.2.1).</w:t>
      </w:r>
    </w:p>
    <w:p>
      <w:r>
        <w:rPr>
          <w:b/>
        </w:rPr>
        <w:t>E. 3.3</w:t>
      </w:r>
    </w:p>
    <w:p>
      <w:r>
        <w:t>En l’espèce, D.________ soutient que le fait qu’H.________ lui ait enlevé les fusibles l’aurait entravée dans sa liberté d’action. Comme l’a relevé le Procureur, ces faits, certes inadmissibles, ne sont toutefois pas suffisamment caractérisés pour fonder une contrainte au sens défini ci-dessus. Le comportement du prénommé a certes causé un certain inconvénient à la plaignante, mais pas à tel point que celle-ci « n’osait plus bouger » et qu’elle craignait, comme elle le prétend (recours, p. 4, par. 3), une agression imminente de son ex-mari, celui-ci se trouvant, selon les explications de la recourante elle-même, à l’extérieur de l’appartement. Le fait d’enlever les fusibles ne constitue donc pas une (tentative de) contrainte, faute d’effets comparables à ceux de la violence (consid. 3.2 supra ), ni une menace d’un dommage sérieux. Quant aux termes « tu verras », ils ne sont pas non plus constitutifs de menaces graves au sens de l’art. 180 CP précité (consid. 3.1 supra ). Comme on l’a vu ci-avant, le fait que le destinataire ait conscience d’être menacé n’est pas suffisant, mais il faut qu’il ait effectivement été alarmé ou effrayé, soit qu’il ait été psychologiquement perturbé de manière à ce que sa liberté de former sa volonté ait été ou ait pu être entravée (ATF 106 IV 125 consid. 1a). Tel n’est pas le cas en l’occurrence et l’enclenchement par l’intéressée de l’alarme agression n’est pas déterminant à cet égard. Il suffit de relever, comme l’a fait à juste titre le Procureur (P. 8, p. 2), que dans sa plainte, la recourante a précisé « Je pense qu’il (ndlr : H.________) a dit "tu verras" », sans pouvoir ainsi être catégorique sur ce point (P. 4, p. 4). Telle que décrite, la menace ne saurait dès lors être qualifiée de grave. Force est d’ailleurs de constater que dans son courrier au Ministère public du 10 août 2015, le conseil de la recourante a qualifié les faits du 5 août 2015 uniquement de « dommages à la propriété et de violation de domicile », et non de menaces ou de contrainte.</w:t>
      </w:r>
    </w:p>
    <w:p>
      <w:r>
        <w:rPr>
          <w:b/>
        </w:rPr>
        <w:t>E. 3.4</w:t>
      </w:r>
    </w:p>
    <w:p>
      <w:r>
        <w:t>Pour le reste, il ressort du courrier précité ainsi que du recours (p. 4, par. 4) que la plaignante estime être victime de stalking au vu de la « multiplicité des agressions » dont elle affirme avoir fait l’objet ces derniers temps. Comme la Cour de céans a eu l’occasion de le préciser (CREP 21 mai 2015/354, consid. 5.1), un tel comportement n’est pas érigé en infraction autonome, mais peut, à certaines conditions, comme on le verra ci-dessous, être assimilé à de la contrainte au sens de l’art. 181 CP.</w:t>
      </w:r>
    </w:p>
    <w:p>
      <w:r>
        <w:rPr>
          <w:b/>
        </w:rPr>
        <w:t>E. 3.4.1</w:t>
      </w:r>
    </w:p>
    <w:p>
      <w:r>
        <w:t>Le « stalking » (persécution obsessionnelle) est le fait d'espionner, de rechercher continuellement la proximité physique (poursuite), de harceler et de menacer autrui, lorsque le comportement en question survient au moins à deux reprises et provoque chez la victime une grande frayeur (ATF 129 IV 262 consid. 2.3, JdT 2005 IV 207). Bien qu'aucune disposition pénale ne réprime spécifiquement le stalking, il n'est pas exclu qu'un tel comportement réalise les éléments constitutifs de l'infraction de contrainte (TF 6B_819/2010 du 3 mai 2011 consid. 4 et 5; ATF 129 IV 262 consid. 2.3, JdT 2005 IV 207).</w:t>
      </w:r>
    </w:p>
    <w:p>
      <w:r>
        <w:rPr>
          <w:b/>
        </w:rPr>
        <w:t>E. 3.4.2</w:t>
      </w:r>
    </w:p>
    <w:p>
      <w:r>
        <w:t>En l’espèce, les allégations de la recourante et les pièces produites à l’appui de son recours ne permettent pas de supposer qu’elle ait été victime d’une forme de « harcèlement » susceptible de tomber sous la qualification pénale de contrainte. Les faits dont elle se plaint sont, au point de vue de la fréquence et de la gravité, sans rapport aucun avec ceux qui ont donné lieu à l’ATF 129 IV 262 auquel elle se réfère d’ailleurs dans son recours (p. 4, par. 4). Dans cet arrêt, le Tribunal fédéral a jugé que les agissements de l’auteur, consistant, tout en exprimant des menaces graves, à se rendre plus de cent vingt fois en une année sur le parking d’une institution, en y demeurant des heures, au mépris d’une injonction du service de sécurité et d’une interdiction d’entrer, en vue de forcer les responsables à s’entretenir avec lui de son avenir professionnel, constituaient des actes de contrainte. Il a en revanche considéré, dans un autre cas, que 379 appels téléphoniques sur une durée d’un mois visant à convaincre un voisin de s’abstenir d’utiliser une installation de chauffage à bois ne constituaient pas une tentative de contrainte, faute d’effets comparables à ceux de la violence (TF 6B_320/2007 du 16 novembre 2007 consid. 4.2). On constate ainsi que la jurisprudence fédérale se montre restrictive pour retenir l’infraction de contrainte dans des cas de « harcèlement ». Si une forme de harcèlement devait être retenue dans le cas présent, il s’agirait d’une forme d’atteinte aux droits de la personnalité, ce qui ressortit aux juridictions civiles. L’infraction de contrainte pouvant ainsi d’emblée être exclue avec certitude, le refus d’entrer en matière est également bien fondé sur ce point.</w:t>
      </w:r>
    </w:p>
    <w:p>
      <w:r>
        <w:rPr>
          <w:b/>
        </w:rPr>
        <w:t>E. 4</w:t>
      </w:r>
    </w:p>
    <w:p>
      <w:r>
        <w:t>En définitive, le recours doit être rejeté et l'ordonnance attaquée confirmée. Par identité de motifs, une action civile exercée par adhésion à la procédure pénale (art. 122 al. 1 CPP) apparaîtrait vouée à l'échec au sens de l’art. 136 al. 1 let. b CPP a contrario . Les conditions qui permettraient d’accorder, même partiellement, l'assistance judiciaire à la partie plaignante pour lui permettre de faire valoir ses prétentions civiles ne sont dès lors pas réunies. La requête d’assistance judiciaire gratuite pour la procédure de recours doit donc être rejetée. Les frais de la procédure de recours, constitués en l’espèce du seul émolument d’arrêt (art. 422 al. 1 CPP), par 880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18 août 2015 est confirmée. III. La requête d’assistance judiciaire gratuite pour la procédure de recours est rejetée . IV. Les frais d’arrêt, par 880 fr. (huit cent huitante francs), sont mis à la charge de D.________. V. Le présent arrêt est exécutoire. Le président :               Le greffier : Du Le présent arrêt, dont la rédaction a été approuvée à huis clos, est notifié, par l'envoi d'une copie complète, à : - Mme Charlotte Iselin, avocate (pour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