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788 vom 28. Oktober 2015</w:t>
      </w:r>
    </w:p>
    <w:p>
      <w:r>
        <w:t>VD Tribunal cantonal, 2015-10-28, FR</w:t>
      </w:r>
    </w:p>
    <w:p>
      <w:r>
        <w:rPr>
          <w:b/>
        </w:rPr>
        <w:t xml:space="preserve">Quelle: </w:t>
      </w:r>
      <w:r>
        <w:t>https://mcp.opencaselaw.ch/entscheid/vd_findinfo_D_cision___2015___788</w:t>
      </w:r>
    </w:p>
    <w:p>
      <w:r>
        <w:t>FR: VD_FINDINFO Décision / 2015 / 788 du 28 octobre 2015</w:t>
      </w:r>
    </w:p>
    <w:p>
      <w:r>
        <w:t>IT: VD_FINDINFO Décision / 2015 / 788 del 28 ottobre 2015</w:t>
      </w:r>
    </w:p>
    <w:p>
      <w:pPr>
        <w:pStyle w:val="Heading2"/>
      </w:pPr>
      <w:r>
        <w:t>Regeste</w:t>
      </w:r>
    </w:p>
    <w:p>
      <w:r>
        <w:t>CLASSEMENT DE LA PROCÉDURE, INTÉRÊT JURIDIQUEMENT PROTÉGÉ, QUALITÉ POUR RECOURIR | 319 CPP (CH), 382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Selon l'art. 385 al. 1 CPP, si le présent code exige que le recours soit motivé – ce qui est le cas en l'espèce en vertu de l'art. 396 al. 1 CPP –, la personne ou l'autorité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1.2</w:t>
      </w:r>
    </w:p>
    <w:p>
      <w:r>
        <w:t>En l’espèce, par acte adressé en temps utile au Ministère public, qui a d'office transmis l’écrit à l’autorité compétente selon l'art. 91 al. 4 CPP, W.________ a déclaré faire recours contre « la lettre de l’avocat Me Olivier Boschetti du 29 septembre 2015 » (P. 74). Le recourant n’indique donc pas expressément vouloir recourir contre l’ordonnance du 27 avril 2015. Toutefois, la Cour de céans a renoncé à renvoyer l’acte à son auteur en application de l’art. 385 al. 2 CPP, dès lors que même si l’acte en question devait être considéré comme un recours contre l’ordonnance de classement du Ministère public, il devrait de toute façon être déclaré irrecevable pour les motifs exposés ci-dessous.</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p. 1723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consid. 3, JT 1978 I 518 ; CREP 22 juillet 2013/495 consid. 2b ; Calame, op. cit., n. 7 ad art. 382 CPP, p. 1724). La violation d’un intérêt relevant d’un autre sujet de droit est également insuffisant pour créer la qualité pour agir. Ainsi, un prévenu ne peut se plaindre de la manière dont un coprévenu a été traité (CREP 4 février 2015/95 consid. 1.2 ; Calame, loc. cit.; ATF 131 IV 191 consid. 1.2).</w:t>
      </w:r>
    </w:p>
    <w:p>
      <w:r>
        <w:rPr>
          <w:b/>
        </w:rPr>
        <w:t>E. 2.2</w:t>
      </w:r>
    </w:p>
    <w:p>
      <w:r>
        <w:t>En l’espèce, le chiffre I du dispositif de l’ordonnance de classement attaquée met le recourant au bénéfice d’un classement, au sens de l’art. 319 CPP, dans la procédure dirigée contre lui pour actes d’ordre sexuel avec des enfants, actes d’ordre sexuel commis sur une personne incapable de discernement ou de résistance et insoumission à une décision de l’autorité. Il résulte en outre du chiffre VII du dispositif que les frais ont été laissés à la charge de l’Etat. On ne peut donc que constater que l’ordonnance entreprise n’atteint pas le recourant ni ne le lèse personnellement, au sens juridique développé au considérant qui précède. Par ailleurs, l'ordonnance attaquée classe la procédure ouverte contre les coprévenus du recourant et celui-ci ne pourrait de toute façon pas se prévaloir d'un intérêt juridiquement protégé à leur condamnation, comme on l’a vu ci-avant. Il est dès lors manifeste que le recourant, qui a été mis au bénéfice d’une ordonnance de classement, sans frais ni indemnités à sa charge, n’est pas lésé dans ses droits par l’ordonnance, bien au contraire.</w:t>
      </w:r>
    </w:p>
    <w:p>
      <w:r>
        <w:rPr>
          <w:b/>
        </w:rPr>
        <w:t>E. 3</w:t>
      </w:r>
    </w:p>
    <w:p>
      <w:r>
        <w:t>Il résulte de ce qui précède que le recours doit être déclaré irrecevable, sans autres échanges d’écritures (art. 390 al. 2 CPP). Les frais de la procédure de recours, constitués en l'espèce du seul émolument d'arrêt, par 550 fr. (art. 422 al. 1 CPP et 20 al. 1 TFIP [Tarif des frais de procédure et indemnités en matière pénale du 28 septembre 2010; RSV 312.03.1]), seront laissés à la charge de l’Etat. Par ces motifs, la Chambre des recours pénale prononce : I. Le recours est irrecevable. II. Les frais d’arrêt, par 550 fr. (cinq cent cinquante francs), sont laissés à la charge de l’Etat. III. Le présent arrêt est exécutoire. Le président :               Le greffier : Du Le présent arrêt, dont la rédaction a été approuvée à huis clos, est notifié, par l'envoi d'une copie complète, à : - M. Olivier Boschetti, avocat (pour W.________), - M. Mathias Burnand, avocat (pour C.T.________), - M. Julien Gafner, avocat (pour B.T.________), - Ministère public central, et communiqué à : ‑ M. le Procureur de l’arrondissement de La Côte, - Service de protection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