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784 vom 20. Oktober 2015</w:t>
      </w:r>
    </w:p>
    <w:p>
      <w:r>
        <w:t>VD Tribunal cantonal, 2015-10-20, FR</w:t>
      </w:r>
    </w:p>
    <w:p>
      <w:r>
        <w:rPr>
          <w:b/>
        </w:rPr>
        <w:t xml:space="preserve">Quelle: </w:t>
      </w:r>
      <w:r>
        <w:t>https://mcp.opencaselaw.ch/entscheid/vd_findinfo_D_cision___2015___784</w:t>
      </w:r>
    </w:p>
    <w:p>
      <w:r>
        <w:t>FR: VD_FINDINFO Décision / 2015 / 784 du 20 octobre 2015</w:t>
      </w:r>
    </w:p>
    <w:p>
      <w:r>
        <w:t>IT: VD_FINDINFO Décision / 2015 / 784 del 20 ottobre 2015</w:t>
      </w:r>
    </w:p>
    <w:p>
      <w:pPr>
        <w:pStyle w:val="Heading2"/>
      </w:pPr>
      <w:r>
        <w:t>Regeste</w:t>
      </w:r>
    </w:p>
    <w:p>
      <w:r>
        <w:t>ORDONNANCE DE CONDAMNATION, OPPOSITION TARDIVE | 354 CPP (CH)</w:t>
      </w:r>
    </w:p>
    <w:p>
      <w:pPr>
        <w:pStyle w:val="Heading2"/>
      </w:pPr>
      <w:r>
        <w:t>Erwägungen</w:t>
      </w:r>
    </w:p>
    <w:p>
      <w:r>
        <w:rPr>
          <w:b/>
        </w:rPr>
        <w:t>E. 9</w:t>
      </w:r>
    </w:p>
    <w:p>
      <w:r>
        <w:t>juillet 2015 était exécutoire (II) et a dit que ce prononcé était rendu sans frais (III). C. Par courrier du 16 octobre 2015, remis à la poste le même jour, P.________ a recouru contre ce prononcé. Il n'a pas été ordonné d'échange d'écritures. En droit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Le recours doit être remis au plus tard le dernier jour du délai à l’autorité pénale, à la Poste suisse ou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 citées). Selon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En l’espèce, il résulte du dossier que le prononcé du 6 octobre 2015 a été envoyé le 7 octobre 2015 par pli postal à la recourante à son lieu de résidence en France (PV des opérations, p. 3). Conformément à l’accord franco-suisse ci-dessus, ce prononcé a donc été valablement notifié à P.________. On ignore quand le pli a été reçu. On ignore quel jour l’acte de recours, remis à la Poste française le 16 octobre 2015, a été pris en charge par la Poste suisse. Cette question peut toutefois demeurer ouverte, le recours devant de toute manière être rejeté pour les motifs exposés ci-après (c. 2). 1.2 Selon l’art. 395 let. b CPP, si l’autorité de recours est un tribunal collégial, la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l'occurrence, la recourante ne conteste pas le classement de la procédure mais uniquement la mise à sa charge des frais de procédure, arrêtés à 1'945 fr. 10. Compte tenu de la valeur litigieuse en cause, n’excédant en l’occurrence par le montant de 5'000 fr., le recours relève de la compétence d’un juge unique de la Chambre des recours pénale du Tribunal cantonal (cf. art. 395 let. b CPP, 13 al. 2 LVCPP, Juge unique CREP 10 août 2015/577).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2.2 En l'espèce, il résulte du dossier que l'ordonnance pénale rendue le 9 juillet 2015 a été envoyée à P.________ le même jour, par voie postale, sous pli recommandé, à son lieu de résidence en France, et que, conformément à l’accord franco-suisse précité, elle a été valablement notifiée à son destinataire le 13 juillet 2015 (P. 7). Le délai d'opposition de dix jours de l’art. 354 al. 1 CPP arrivait ainsi à échéance le 23 juillet 2015. Il s’ensuit que l’opposition remise à la poste française le 22 septembre 2015 par la condamnée – qui n’a invoqué aucun empêchement ni sollicité la restitution du délai d’opposition (art. 94 al. 1 CPP) – était tardive. C’est donc à juste titre que le Tribunal de police de l’arrondissement de l’Est vaudois a déclaré irrecevable l’opposition, de sorte que l’ordonnance pénale du 9 juillet 2015 doit être assimilée à un jugement entré en force (art. 354 al. 3 CPP). A cet égard, les arguments avancés par P.________ dans son recours – qui concernent uniquement le fond de la cause, sans la moindre allusion à la question de la tardiveté de l’opposition – sont hors de propos. 3. Le recours, manifestement mal fondé, doit donc être rejeté, dans la mesure où il est recevable (cf. c. 1.1 supra ), sans autres échanges d’écritures (art. 390 al. 2 CPP).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le juge unique prononce : I. Le recours est rejeté dans la mesure où il est recevable. II. Le prononcé du 6 octobre 2015 est confirmé. III. Les frais de la procédure de recours, par 660 fr. (six cent soixante francs), sont mis à la charge de P.________. IV. Le présent arrêt est exécutoire. Le juge unique :               Le greffier : Du Le présent arrêt, dont la rédaction a été approuvée à huis clos, est notifié, par l'envoi d'une copie complète, à : - Mme P.________, - Ministère public central, et communiqué à : ‑ Mme la Procureure de l'arrondissement de l'Est vaudois, - Mme la Présidente du Tribunal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