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782 vom 6. Oktober 2015</w:t>
      </w:r>
    </w:p>
    <w:p>
      <w:r>
        <w:t>VD Tribunal cantonal, 2015-10-06, FR</w:t>
      </w:r>
    </w:p>
    <w:p>
      <w:r>
        <w:rPr>
          <w:b/>
        </w:rPr>
        <w:t xml:space="preserve">Quelle: </w:t>
      </w:r>
      <w:r>
        <w:t>https://mcp.opencaselaw.ch/entscheid/vd_findinfo_D_cision___2015___782</w:t>
      </w:r>
    </w:p>
    <w:p>
      <w:r>
        <w:t>FR: VD_FINDINFO Décision / 2015 / 782 du 6 octobre 2015</w:t>
      </w:r>
    </w:p>
    <w:p>
      <w:r>
        <w:t>IT: VD_FINDINFO Décision / 2015 / 782 del 6 ottobre 2015</w:t>
      </w:r>
    </w:p>
    <w:p>
      <w:pPr>
        <w:pStyle w:val="Heading2"/>
      </w:pPr>
      <w:r>
        <w:t>Regeste</w:t>
      </w:r>
    </w:p>
    <w:p>
      <w:r>
        <w:t>EXPERTISE MÉDICALE, ADMINISTRATION DES PREUVES, EXCLUSION{EN GÉNÉRAL}, RAPPORT MÉDICAL, CERTIFICAT MÉDICAL, DROIT DE POSER DES QUESTIONS, GARANTIE DE PROCÉDURE | 141 CPP (CH), 147 CPP (CH), 184 al. 3 CPP (CH), 195 CPP (CH), 393 al. 1 let. a CPP (CH)</w:t>
      </w:r>
    </w:p>
    <w:p>
      <w:pPr>
        <w:pStyle w:val="Heading2"/>
      </w:pPr>
      <w:r>
        <w:t>Erwägungen</w:t>
      </w:r>
    </w:p>
    <w:p>
      <w:r>
        <w:rPr>
          <w:b/>
        </w:rPr>
        <w:t>E. 1</w:t>
      </w:r>
    </w:p>
    <w:p>
      <w:r>
        <w:t>Une décision du Ministère public refusant de retrancher des pièces du dossier est susceptible de recours selon les art. 393 ss CPP (Stephenson/Thiriet, in : Niggli/Heer/Wiprächtiger [éd.], Basler Kommentar, Schweizerische Strafprozess-ordnung, Jugendstrafprozessordnung, 2 e éd., Bâle 2014, n. 10 ad art. 393 CPP ; CREP 9 mars 2015/169 c. 1 et les références citées ; CREP 26 janvier 2015/61).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le prévenu Q.________, qui a qualité pour recourir (art. 382 al. 1 CPP), et satisfaisant aux conditions de formes prescrites (art. 385 al. 1 CPP), le recours est recevable.</w:t>
      </w:r>
    </w:p>
    <w:p>
      <w:r>
        <w:rPr>
          <w:b/>
        </w:rPr>
        <w:t>E. 2.1</w:t>
      </w:r>
    </w:p>
    <w:p>
      <w:r>
        <w:t>Les règles relatives à l’exclusion d’un moyen de preuve sont codifiées à l’art. 141 CPP. Selon cette disposition,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pièces relatives aux moyens de preuves non exploitables doivent être retirées du dossier pénal, conservées à part jusqu'à la clôture définitive de la procédure, puis détruites (al. 5).</w:t>
      </w:r>
    </w:p>
    <w:p>
      <w:r>
        <w:rPr>
          <w:b/>
        </w:rPr>
        <w:t>E. 2.2</w:t>
      </w:r>
    </w:p>
    <w:p>
      <w:r>
        <w:t>Le recours à un expert par le ministère public et les tribunaux est prévu aux art. 182 ss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Kuhn/Jeanneret (éd.), Commentaire romand, Code de procédure pénale suisse, Bâle 2011, nn. 9 et 16 ad art. 184 CPP ; Donatsch, in : Donatsch/Hansjakob/Lieber (éd.), Kommentar zur Schweizerischen Strafprozessordnung, 2 e éd. 2014, n. 36 ad art. 184 CPP).</w:t>
      </w:r>
    </w:p>
    <w:p>
      <w:r>
        <w:rPr>
          <w:b/>
        </w:rPr>
        <w:t>E. 2.3</w:t>
      </w:r>
    </w:p>
    <w:p>
      <w:r>
        <w:t>En l’espèce, on constate que D.________ a été la patiente de la psychologue [...], coauteure du rapport du 16 mars 2015, entre avril et juillet 2014. En raison de cette relation thérapeutique avec la victime, elle ne saurait en aucun cas être considérée comme « expert » au sens des art. 182 ss CPP dans la présente cause ; en effet, si elle avait été désignée en cette qualité, son indépendance aurait clairement été sujette à caution, au vu des exigences d'impartialité et d'indépendance requises d'un expert (ATF 127 I 196 c. 2b ; TF 1B_488/2011 du 2 décembre 2011 c. 3.1). D’ailleurs, le rapport mentionne lui-même en préambule qu’« [il] a été rédigé par la thérapeute de la jeune fille susmentionnée et ne peut pas remplacer une expertise ». Dans ces circonstances, le rapport du 16 mars 2015 ne saurait être considéré comme une expertise et doit l’être comme un rapport écrit, plus précisément un certificat médical au sens de l’art. 195 al. 1 CPP, et cela même s’il répond à certaines questions que l’on poserait plutôt à un expert.</w:t>
      </w:r>
    </w:p>
    <w:p>
      <w:r>
        <w:rPr>
          <w:b/>
        </w:rPr>
        <w:t>E. 2.4</w:t>
      </w:r>
    </w:p>
    <w:p>
      <w:r>
        <w:t>Cela étant, pour respecter le droit des parties – en particulier du recourant – de participer à l’administration des preuves, il appartiendra à la Procureure, si le recourant le requiert, de convoquer la psychologue [...] afin que ce dernier puisse lui poser des questions complémentaires à l’occasion d’une audition orale.</w:t>
      </w:r>
    </w:p>
    <w:p>
      <w:r>
        <w:rPr>
          <w:b/>
        </w:rPr>
        <w:t>E. 2.5</w:t>
      </w:r>
    </w:p>
    <w:p>
      <w:r>
        <w:t>En définitive, il faut admettre que le rapport du 16 mars 2015 ne constitue pas un moyen de preuve inexploitable au sens de l’art. 141 CPP, si bien que son retranchement du dossier ne se justifie pas. Il appartiendra, le cas échéant, au juge du fond d’examiner, dans le cadre de sa libre appréciation des preuves, dans quelle mesure il peut en être tenu compte.</w:t>
      </w:r>
    </w:p>
    <w:p>
      <w:r>
        <w:rPr>
          <w:b/>
        </w:rPr>
        <w:t>E. 3</w:t>
      </w:r>
    </w:p>
    <w:p>
      <w:r>
        <w:t>Les conclusions prises par le recourant – qui tendent uniquement à l’annulation et au retranchement du dossier du rapport du 16 mars 2015 – ne sauraient ainsi être admises, si bien que le recours doit formellement être rejeté (cf. toutefois c. 2.4 supra).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à 720 fr., plus la TVA par 57 fr. 60, soit un total de 777 fr. 60, seront mis à la charge de Q.________,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L'indemnité allouée au défenseur de Q.________ est fixée à 777 fr. 60 (sept cent septante-sept francs et soixante centimes). III. Les frais du présent arrêt, par 660 fr. (six cent soixante francs), ainsi que l'indemnité due au défenseur d'office de Q.________, par 777 fr. 60 (sept cent septante-sept francs et soixante centimes), sont mis à la charge de ce dernier. IV. Le remboursement à l'Etat de l'indemnité allouée au chiffre II ci-dessus ne sera exigible que pour autant que la situation économique de Q.________ se soit améliorée. V. Le présent arrêt est exécutoire. Le président :               La greffière : Du Le présent arrêt, dont la rédaction a été approuvée à huis clos, est notifié, par l'envoi d'une copie complète, à : - M. Patrick Michod, avocat (pour Q.________), - Mme Claire-Lise Oswald, avocate (pour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