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780 vom 20. Oktober 2015</w:t>
      </w:r>
    </w:p>
    <w:p>
      <w:r>
        <w:t>VD Tribunal cantonal, 2015-10-20, FR</w:t>
      </w:r>
    </w:p>
    <w:p>
      <w:r>
        <w:rPr>
          <w:b/>
        </w:rPr>
        <w:t xml:space="preserve">Quelle: </w:t>
      </w:r>
      <w:r>
        <w:t>https://mcp.opencaselaw.ch/entscheid/vd_findinfo_D_cision___2015___780</w:t>
      </w:r>
    </w:p>
    <w:p>
      <w:r>
        <w:t>FR: VD_FINDINFO Décision / 2015 / 780 du 20 octobre 2015</w:t>
      </w:r>
    </w:p>
    <w:p>
      <w:r>
        <w:t>IT: VD_FINDINFO Décision / 2015 / 780 del 20 ottobre 2015</w:t>
      </w:r>
    </w:p>
    <w:p>
      <w:pPr>
        <w:pStyle w:val="Heading2"/>
      </w:pPr>
      <w:r>
        <w:t>Regeste</w:t>
      </w:r>
    </w:p>
    <w:p>
      <w:r>
        <w:t>FAUX MATÉRIEL DANS LES TITRES, NON-LIEU | 110 al. 4 CP, 251 CP,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322 al. 2 CPP ; cf. art. 20 al. 1 let. b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interjeté dans le délai légal auprès de l’autorité compétente par la plaignante qui a qualité pour recourir (art. 382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La recourante soutient que le document litigieux constituerait un faux matériel et demande que le Ministère public ouvre une instruction pénale pour faux dans les titres (art. 251 CP).</w:t>
      </w:r>
    </w:p>
    <w:p>
      <w:r>
        <w:rPr>
          <w:b/>
        </w:rPr>
        <w:t>E. 3.2</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Tous les comportements réprimés par cette disposition ont en commun de se rapporter à un titre (Corboz, Les infractions en droit suisse, vol. II, 3 e éd., Berne 2010, n. 4 ad art. 251 CP). La notion de titre est définie par l’art. 110 al. 4 CP, qui prévoit que sont notamment réputés titres tous les écrits destinés et propres à prouver un fait ayant une portée juridique (Corboz, op. cit.,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Le titre doit ainsi convaincre d’un fait dont dépend notamment la naissance, l’existence, la modification, l’extinction ou la modification d’un droit ; autrement dit, le fait doit être de nature à modifier la solution apportée à un problème juridique (Corboz, op. cit., nn. 20 ss. ad art. 251 CP).</w:t>
      </w:r>
    </w:p>
    <w:p>
      <w:r>
        <w:rPr>
          <w:b/>
        </w:rPr>
        <w:t>E. 3.3</w:t>
      </w:r>
    </w:p>
    <w:p>
      <w:r>
        <w:t>Dans le cas présent, le document en question, comme la Procureure l’a justement constaté, se présente uniquement comme une liste manuscrite, non signée et intitulée « pour parler avec le spj ». Il contient différentes phrases faisant référence à des difficultés relationnelles entre l’auteur du document et une femme. Un tel document n’est pas propre à prouver un quelconque fait, notamment pas un fait ayant une portée juridique. Il ne s’agit donc pas d’un titre au sens de l’art. 110 al. 4 CP. L’argumentation de la recourante selon laquelle l’écrit en question représenterait un faux matériel ne peut donc être suivie, dans la mesure où, pour que l’auteur soit punissable, le document doit être un titre au sens de l’art. 110 al. 4 CP (Favre, Pellet et Stoudmann, Code pénal annoté, Lausanne 2011, n. 1.17 ad art. 251 CP), ce qui n’est pas le cas ici.</w:t>
      </w:r>
    </w:p>
    <w:p>
      <w:r>
        <w:rPr>
          <w:b/>
        </w:rPr>
        <w:t>E. 4</w:t>
      </w:r>
    </w:p>
    <w:p>
      <w:r>
        <w:t>En définitive, le recours doit être rejeté sans autre échange d’écritures (art. 390 al. 2 CPP) et l'ordonnance attaquée confirmée. Les frais de la procédure de recours, constitués du seul émolument d’arrêt,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17 août 2015 est confirmée. III. Les frais d’arrêt, par 550 fr. (cinq cent cinquante francs), sont mis à la charge de X.________. IV. Le présent arrêt est exécutoire. Le président :               La greffière : Du Le présent arrêt, dont la rédaction a été approuvée à huis clos, est notifié, par l'envoi d'une copie complète, à : - Me Lionel Zeiter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