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772 vom 30. Oktober 2015</w:t>
      </w:r>
    </w:p>
    <w:p>
      <w:r>
        <w:t>VD Tribunal cantonal, 2015-10-30, FR</w:t>
      </w:r>
    </w:p>
    <w:p>
      <w:r>
        <w:rPr>
          <w:b/>
        </w:rPr>
        <w:t xml:space="preserve">Quelle: </w:t>
      </w:r>
      <w:r>
        <w:t>https://mcp.opencaselaw.ch/entscheid/vd_findinfo_D_cision___2015___772</w:t>
      </w:r>
    </w:p>
    <w:p>
      <w:r>
        <w:t>FR: VD_FINDINFO Décision / 2015 / 772 du 30 octobre 2015</w:t>
      </w:r>
    </w:p>
    <w:p>
      <w:r>
        <w:t>IT: VD_FINDINFO Décision / 2015 / 772 del 30 ottobre 2015</w:t>
      </w:r>
    </w:p>
    <w:p>
      <w:pPr>
        <w:pStyle w:val="Heading2"/>
      </w:pPr>
      <w:r>
        <w:t>Regeste</w:t>
      </w:r>
    </w:p>
    <w:p>
      <w:r>
        <w:t>DÉTENTION PROVISOIRE, PROLONGATION, RISQUE DE COLLUSION | 221 al. 1 let. b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29 juin 2015/441 ; CREP 18 juin 2015/418 c. 1.1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 art. 80 LOJV [loi vaudoise du 12 décembre 1979 d’organisa-tion judiciaire; RSV 173.01]).</w:t>
      </w:r>
    </w:p>
    <w:p>
      <w:r>
        <w:rPr>
          <w:b/>
        </w:rPr>
        <w:t>E. 1.2</w:t>
      </w:r>
    </w:p>
    <w:p>
      <w:r>
        <w:t>En l’espèce, le recours a été interjeté en temps utile devant l’autorité compétente par la détenue, qui a qualité pour recourir (art. 382 al. 1 CPP), et dans les formes prescrites (art. 385 al. 1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Bâle 2011, nn. 14 et 15 ad art. 221 CPP ; cf. ATF 137 IV 122 c. 6.2 et 6.4) – vise à garantir la constatation exacte et complète des faits.</w:t>
      </w:r>
    </w:p>
    <w:p>
      <w:r>
        <w:rPr>
          <w:b/>
        </w:rPr>
        <w:t>E. 2.2</w:t>
      </w:r>
    </w:p>
    <w:p>
      <w:r>
        <w:t>En l’espèce, S.________ ne remet – à juste titre – pas en cause l’existence de présomptions de culpabilité suffisantes. Elle soutient en revanche qu’il n’existerait plus de risque de collusion et que son maintien en détention serait dès lors injustifié. Elle reproche, en particulier, au premier juge de ne pas avoir détaillé les investigations qui doivent encore être menées et de la maintenir en détention non pas dans le but d’établir les faits qui lui sont reprochés, mais uniquement pour assurer la réparation du préjudice causé, alors que « ce motif n’est pas prévu par la loi ».</w:t>
      </w:r>
    </w:p>
    <w:p>
      <w:r>
        <w:rPr>
          <w:b/>
        </w:rPr>
        <w:t>E. 2.3</w:t>
      </w:r>
    </w:p>
    <w:p>
      <w:r>
        <w:t>Comme l’a relevé le premier juge, il n’a pas encore été possible de déterminer l’ampleur du patrimoine des époux [...]. Or il s’avère que ce point, ainsi que la manière dont ledit patrimoine a, le cas échéant, été dissimulé, joue un rôle essentiel pour l’appréciation de la culpabilité de la prévenue. A cet égard, l’argumentation de la recourante consistant à dire que « seul M. [...] a connaissance de l’emplacement et de l’ampleur de la fortune qui n’a pas encore été découverte » et qu’« aucun élément au dossier ne permet de penser qu’[elle] ait connaissance ni même accès aux comptes bancaires tunisiens de son époux, où la fortune subsistante est déposée » ne saurait être suivie. En effet, il ressort des éléments du dossier que la recourante était au courant des activités commerciales exercées par son époux entre la Suisse et la Tunisie (PV aud. 4) –d’après les premières mesures d’instruction, dans le domaine de la réparation de voitures, la gestion d’une société en Suisse pour le compte d’un tiers, la gestion d’achats et de transferts de fonds et l’importation et l’exportation de devises –, qu’elle savait que son époux dissimulait d’importantes sommes d’argent et qu’elle a admis que son époux la tenait informée « pour le cas où il arriverait quelque chose » (PV aud. 11). Dans ces circonstances, il est fortement à craindre que S.________ – qui dit par ailleurs être sous l’influence de son époux – tente de dissimuler le patrimoine familial et compromette ainsi la recherche de la vérité. S’agissant des investigations encore nécessaires – que la recourante estime insuffisamment détaillées –, l’ordonnance attaquée précise qu’une procédure d’entraide internationale devait être mise en œuvre, en raison notamment de l’existence de comptes bancaires en Tunisie, et qu’il n’était pas à exclure que la découverte de l’entier de la fortune dissimulée par le couple [...] donne lieu à de nouvelles mesures d’instruction, par définition inconnues pour l’heure. Contrairement à ce que soutient la recourante, les mesures d’instruction en cours et à venir ne visent pas exclusivement la réparation du préjudice causé, mais également et très largement l’établissement des faits qui lui sont reprochés. D’ailleurs, le risque d’altération des moyens de preuve que vise à prévenir l’art. 221 al. 1 let. b CPP ne concerne pas seulement les faits reprochés à la prévenue sous l’angle des éléments constitutifs de l’infraction, respectivement de la condamnation à une peine ou mesure, mais aussi sous l’angle de la possibilité de prononcer une confiscation ou une restitution au lésé (art. 70 al. 1 CP). Dans ces circonstances, force est d’admettre que le risque de collusion est toujours d'actualité et qu’il s’oppose à la levée de la détention provisoire de la recourante.</w:t>
      </w:r>
    </w:p>
    <w:p>
      <w:r>
        <w:rPr>
          <w:b/>
        </w:rPr>
        <w:t>E. 3.1</w:t>
      </w:r>
    </w:p>
    <w:p>
      <w:r>
        <w:t>S.________ requiert, dans l’hypothèse où le risque de collusion devait être retenu, que soient prononcées les mesures de substitution jugées utiles ; elle propose, en particulier, la saisie de ses documents d’identité, une interdiction d’entretenir des relations avec toute personne résidant en Tunisie, sous la menace des peines prévues à l’art. 292 CP, la surveillance de ses moyens de communication et son assignation à résidence.</w:t>
      </w:r>
    </w:p>
    <w:p>
      <w:r>
        <w:rPr>
          <w:b/>
        </w:rPr>
        <w:t>E. 3.2</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(Moreillon/Parein-Reymond,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op. cit., n. 2 ad art. 237 CPP). Font notamment partie des mesures de substitution au sens de cette disposition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3.3</w:t>
      </w:r>
    </w:p>
    <w:p>
      <w:r>
        <w:t>En l’espèce, force est de constater qu’aucune mesure de substitution, en particulier parmi celles proposées par la recourante, n’est susceptible, pour parer au risque de collusion retenu, d’atteindre le même but que la détention provisoire. En effet, une fois libre, S.________ pourrait toujours, même sans papiers d’identité et/ou sous le coup des mesures qu’elle propose, altérer des moyens de preuve, en particulier par l’intermédiaire de ses enfants.</w:t>
      </w:r>
    </w:p>
    <w:p>
      <w:r>
        <w:rPr>
          <w:b/>
        </w:rPr>
        <w:t>E. 4.1</w:t>
      </w:r>
    </w:p>
    <w:p>
      <w:r>
        <w:t>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S.________ est détenue depuis le 21 juillet 2015, soit depuis un peu plus de trois mois. Compte tenu de la gravité des infractions qui lui sont reprochées et en particulier de l’importance des montants en cause, la recourante s'expose à une peine d’une durée manifestement supérieure à celle de la détention provisoire ordonnée. Le principe de la proportionnalité demeure donc respecté.</w:t>
      </w:r>
    </w:p>
    <w:p>
      <w:r>
        <w:rPr>
          <w:b/>
        </w:rPr>
        <w:t>E. 5.1</w:t>
      </w:r>
    </w:p>
    <w:p>
      <w:r>
        <w:t>Enfin, la recourante invoque un défaut de motivation de l’ordonnance attaquée, en particulier sur la question du risque de collusion et sur celle des mesures de substitution proposées. Elle y voit une violation de son droit d’être entendue. La jurisprudence déduit du droit d'être entendu le devoir pour l'autorité de motiver sa décision, de manière à ce que le destinataire puisse la comprendre, la contester utilement s'il y a lieu et que l'autorité de recours puisse exercer son contrôle (art. 29 al. 2 Cst. [Constitution fédérale de la Confédération suisse du 18 avril 1999 ; RS 101]; art. 3 al. 2 let. c et 226 al. 2 CPP ; Logos, in Kuhn/Jeanneret [éd.], op. cit., n. 14 ad art. 226 CPP). Pour satisfaire à ces exigences, il suffit que l'autorité mentionne, au moins brièvement, les motifs qui l'ont guidée et sur lesquels elle a fondé sa décision ; elle n'a pas l'obligation d'exposer et de discuter tous les arguments des parties (TF 1B_145/2012 du 19 avril 2012 c. 2.2 et l'arrêt cité).</w:t>
      </w:r>
    </w:p>
    <w:p>
      <w:r>
        <w:rPr>
          <w:b/>
        </w:rPr>
        <w:t>E. 5.2</w:t>
      </w:r>
    </w:p>
    <w:p>
      <w:r>
        <w:t>En l’espèce, l’ordonnance attaquée est clairement et suffisamment motivée ; les motifs retenus pour prononcer le refus de la mise en liberté demandée et les mesures de substitution proposées sont parfaitement compréhensibles et sont de nature à permettre à son destinataire de contester utilement  la décision prise. L’ordonnance du 6 octobre 2015 se réfère par ailleurs aux ordonnances rendues les 23 juillet et 24 août 2015 – procédé qui ne constitue pas une violation du droit d'être entendu, en l'absence de circonstance justifiant une nouvelle appréciation de la situation (ATF 114 Ia 281 c. 4c ; TF 1B_149/2010 du 1er juin 2010 c. 1.3 et les références citées ; CREP 13 février 2012/47 ; 12 août 2011/315) – dans lesquelles le Tribunal des mesures de contraintes a examiné les mêmes questions, ce qu’il a fait de manière détaillée. C’est donc à tort que la recourante se plaint d’un défaut de motivation de l’ordonnance attaquée.</w:t>
      </w:r>
    </w:p>
    <w:p>
      <w:r>
        <w:rPr>
          <w:b/>
        </w:rPr>
        <w:t>E. 6</w:t>
      </w:r>
    </w:p>
    <w:p>
      <w:r>
        <w:t>En définitive, le recours, manifestement mal fondé, doit être rejeté sans autre échange d’écritures (art. 390 al. 2 CPP) et l'ordonnance du 6 octobre 2015 confirmée. L’indemnité due au défenseur d'office du recourant sera fixée à 540 fr., plus la TVA, par 43 fr. 20, ce qui porte le montant alloué à 583 fr. 20.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par 583 fr. 20, seront mis à la charge de la recourante, qui succombe (art. 428 al. 1 CPP). La défense d’office ayant été ordonnée, le 16 mars 2015, en raison du fait que la prévenue ne disposerait pas des moyens nécessaires (art. 132 al. 1 let. b CPP), il y a lieu de faire application de l’art. 135 al. 4 CPP et de prononcer que le remboursement à l’Etat de l’indemnité allouée au défenseur d’office de S.________ ne sera exigible que pour autant que la situation économique de cette dernière se soit améliorée (art. 135 al. 4 CPP). On peut toutefois relever à cet égard que s’il s’avérait que l’intéressée n’était pas indigente et qu’elle avait les moyens de rémuné-rer son défenseur, il appartiendra au Procurer de révoquer, le cas échéant, sa décision de désignation du défenseur d’office avec effet ex tunc (TF 6B_698/2013 du 27 janvier 2014, c. 5.2.2 ; Lieber, in : Donatsch/Hansjakob/Lieber [éd.], Kommentar zur Schweizerischen Strafprozessordnung, 2 e éd., Zurich/Bâle 2014, n. 7a ad art. 134 CPP). Par ces motifs, la Chambre des recours pénale prononce : I. Le recours est rejeté. II. L’ordonnance du 6 octobre 2015 est confirmée. III. L'indemnité allouée au défenseur d'office de S.________ est fixée à 583 fr. 20 (cinq cent huitante-trois francs et vingt centimes). IV. Les frais du présent arrêt, par 1’100 fr. (mille cent francs), ainsi que l'indemnité due au défenseur d'office de S.________ selon le chiffre III ci-dessus, sont mis à la charge de cette dernière. V. Le remboursement à l'Etat de l'indemnité allouée au chiffre III ci-dessus  sera exigible pour autant que la situation économique de S.________ se soit améliorée. VI. Le présent arrêt est exécutoire. Le président :               La greffière : Du Le présent arrêt, dont la rédact ion a été approuvée à huis clos, est notifié, par l'envoi d'une copie complète, à : - Mme Coralie Germond, avocate (pour S.________), - Ministère public central, et communiqué à :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