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770 vom 6. Oktober 2015</w:t>
      </w:r>
    </w:p>
    <w:p>
      <w:r>
        <w:t>VD Tribunal cantonal, 2015-10-06, FR</w:t>
      </w:r>
    </w:p>
    <w:p>
      <w:r>
        <w:rPr>
          <w:b/>
        </w:rPr>
        <w:t xml:space="preserve">Quelle: </w:t>
      </w:r>
      <w:r>
        <w:t>https://mcp.opencaselaw.ch/entscheid/vd_findinfo_D_cision___2015___770</w:t>
      </w:r>
    </w:p>
    <w:p>
      <w:r>
        <w:t>FR: VD_FINDINFO Décision / 2015 / 770 du 6 octobre 2015</w:t>
      </w:r>
    </w:p>
    <w:p>
      <w:r>
        <w:t>IT: VD_FINDINFO Décision / 2015 / 770 del 6 ottobre 2015</w:t>
      </w:r>
    </w:p>
    <w:p>
      <w:pPr>
        <w:pStyle w:val="Heading2"/>
      </w:pPr>
      <w:r>
        <w:t>Regeste</w:t>
      </w:r>
    </w:p>
    <w:p>
      <w:r>
        <w:t>INFRACTIONS CONTRE LE DOMAINE SECRET, DÉCISION D'IRRECEVABILITÉ | 179 CP, 310 CPP (CH)</w:t>
      </w:r>
    </w:p>
    <w:p>
      <w:pPr>
        <w:pStyle w:val="Heading2"/>
      </w:pPr>
      <w:r>
        <w:t>Erwägungen</w:t>
      </w:r>
    </w:p>
    <w:p>
      <w:r>
        <w:rPr>
          <w:b/>
        </w:rPr>
        <w:t>E. 1.1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art. 80 LOJV [loi d’organisation judiciaire ; RSV 173.01]). Interjeté dans le délai légal auprès de l’autorité compétente, le recours déposé par E.________, qui a la qualité pour recourir (art. 382 al. 1 et art. 396 al. 1 CPP), est recevable.</w:t>
      </w:r>
    </w:p>
    <w:p>
      <w:r>
        <w:rPr>
          <w:b/>
        </w:rPr>
        <w:t>E. 1.2</w:t>
      </w:r>
    </w:p>
    <w:p>
      <w:r>
        <w:t>En revanche, il n’en va pas de même de l’écriture de l’avocat Fabien Hohenauer adressée le 28 août 2015 à la Cour de céans. Le recours doit être adressé par écrit, dans un délai de dix jours dès la notification de la décision attaquée (cf. art. 384 let. b CPP), à l’autorité de recours (art. 396 al. 1 CPP). En l’espèce, il ressort du dossier que l’ordonnance attaquée, approuvée par le Ministère public central le 30 juillet 2015, a été notifiée le 3 août 2015 à E.________ (art. 87 al. 3 CPP), de sorte que le délai de recours est arrivé à échéance le 17 août 2015. Force est dès lors de constater que le recours complémentaire déposé parallèlement par Me Fabien Hohenauer le 28 août 2015 est tardif et par conséquent irrecevable.</w:t>
      </w:r>
    </w:p>
    <w:p>
      <w:r>
        <w:rPr>
          <w:b/>
        </w:rPr>
        <w:t>E. 2</w:t>
      </w:r>
    </w:p>
    <w:p>
      <w:r>
        <w:t>Aux termes de l'art. 310 al. 1 let. a CPP, une ordonnance de non-entrée en matière est rendue immédiatement – c’est-à-dire sans qu’une instruction soit ouverte (art. 309 al. 1 et 4 CPP ;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 TF 1B_67/2012 du 29 mai 2012 c. 3.2 ; CREP 23 novembre 2011/517 c. 2a). En cas de doute sur la possibilité d’apporter ultérieurement la preuve des faits en question, la non-entrée en matière est exclue (Cornu, op. cit., n. 9 ad art. 310 CPP ; Nathan Landshut, in : Donatsch/Hansjakob/Lieber [éd.], Kommentar zur Schweizerischen Strafprozessordnung, 2e éd., Zurich/Bâle 2014, n. 5 ad art. 310 CPP ;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Le recourant soutient que son ancien employeur, G.________, aurait réactivé sa messagerie professionnelle à son insu et aurait, de ce fait, violé sa sphère privée et contrevenu ainsi à l’art. 179 CP.</w:t>
      </w:r>
    </w:p>
    <w:p>
      <w:r>
        <w:rPr>
          <w:b/>
        </w:rPr>
        <w:t>E. 3.2.1</w:t>
      </w:r>
    </w:p>
    <w:p>
      <w:r>
        <w:t>Aux termes de l’art. 179 CP (Code pénal suisse, RS 311), celui qui, sans en avoir le droit, aura ouvert un pli ou colis fermé pour prendre connaissance de son contenu sera, sur plainte, puni d’une amende (al. 1). Il en va de même pour celui qui, ayant pris connaissance de certains faits en ouvrant un pli ou colis fermé qui ne lui était pas destiné, aura divulgué ces faits ou en aura tiré profit (al. 2). Le courrier électronique est protégé par cet article, à tout le moins lorsque celui-ci est « fermé », notamment par un mot de passe, respectivement lorsque l’expéditeur manifeste clairement qu’un tiers ne peut sans autre prendre connaissance du message (Dupuis et al., Petit commentaire, Code pénal, Bâle 2012, n. 8 ad 179 CP).</w:t>
      </w:r>
    </w:p>
    <w:p>
      <w:r>
        <w:rPr>
          <w:b/>
        </w:rPr>
        <w:t>E. 3.2.2</w:t>
      </w:r>
    </w:p>
    <w:p>
      <w:r>
        <w:t>L’art. 31 CP prévoit que le droit de porter plainte se prescrit par trois mois. Le délai court du jour où l’ayant droit a connu l’auteur de l’infraction. Ce délai impératif concerne les infractions poursuivies sur plainte. Le point de départ du délai de plainte est le jour où le lésé a connaissance non seulement de l’auteur de l’infraction, mais aussi de l’infraction elle-même (Dupuis et al., Petit commentaire, Code pénal, Bâle 2012, n. 3 s. ad 31 CP).</w:t>
      </w:r>
    </w:p>
    <w:p>
      <w:r>
        <w:rPr>
          <w:b/>
        </w:rPr>
        <w:t>E. 3.3.1</w:t>
      </w:r>
    </w:p>
    <w:p>
      <w:r>
        <w:t>Dans le cas d’espèce, il sied de relever que la « preuve 1 » produite avec la plainte, à savoir la copie du courriel du 19 janvier 2015, n’est pas pertinente dans la mesure où le message envoyé par l’employée de [...] SA, compagnie d’Assurance de Protection juridique, comporte une erreur d’adressage et n’a pas pu être délivré. Seule subsiste la « preuve 2 », soit une réponse automatique datant du mois de mars 2015 disant qu’E.________ avait cessé ses activités pour la société T.________ SA et donnant les coordonnées de celle-ci. Par courrier du 13 avril 2015, le recourant a admis avoir eu connaissance le 31 août 2014 de la prise de contact par un collaborateur de T.________ SA en réponse à un courriel privé reçu à son ancienne adresse professionnelle (P. 6). L’infraction de violation de secrets privés prévue à l’art. 179 CP ne se poursuivant que sur plainte, la plainte déposée le 20 mars 2015 doit être considérée comme tardive s’agissant de ce cas. Pour ce qui est de la réponse automatique datant du mois de mars 2015, même si la date est imprécise sur cet écrit, on peut admettre que la plainte déposée par E.________ n’est pas tardive.</w:t>
      </w:r>
    </w:p>
    <w:p>
      <w:r>
        <w:rPr>
          <w:b/>
        </w:rPr>
        <w:t>E. 3.3.2</w:t>
      </w:r>
    </w:p>
    <w:p>
      <w:r>
        <w:t>Il sied de préciser que la boîte de messagerie en cause était une boîte professionnelle. Dans ces conditions, il paraît légitime de la part de l’employeur d’informer ses partenaires ou ses clients du départ d’E.________ de l’entreprise T.________ SA et de leur fournir de nouvelles coordonnées pour tout contact. Seuls pourraient être mis en cause les courriels privés, la boîte de messagerie ne pouvant toutefois faire la différence entre les courriels professionnels et les courriels privés. Pour ce qui est des messages privés, il faut souligner qu’il incombait au recourant d’informer ses correspondants de son changement d’adresse professionnelle. L’art. 179 CP protège la messagerie électronique qui est « fermée », soit protégée par un mot de passe. La réponse automatique générée ne signifie pas encore que le courriel a été ouvert. Bien au contraire, si le message était ouvert, il n’y aurait pas besoin d’une réponse automatique. En admettant que les courriels privés d’E.________ ont été ouverts, on ne peut admettre qu’ils l’ont été sans droit, puisqu’ils sont arrivés sur une messagerie professionnelle. Dans l’hypothèse de l’ouverture d’un message qui n’était pas destiné à l’employeur, il s’agirait d’un cas d’application de l’art. 179 al. 2 CP, qui exige comme condition supplémentaire de punissabilité que celui qui a ouvert le courriel l’ait divulgué ou en ait tiré profit. Or, le recourant n’a apporté aucun indice démontrant que le courriel en cause aurait été lu et encore moins que son ancien employeur l’aurait divulgué ou en aurait tiré un quelconque profit.</w:t>
      </w:r>
    </w:p>
    <w:p>
      <w:r>
        <w:rPr>
          <w:b/>
        </w:rPr>
        <w:t>E. 3.3.3</w:t>
      </w:r>
    </w:p>
    <w:p>
      <w:r>
        <w:t>C’est en vain que le recourant requiert que le Ministère public entreprenne des mesures d’instruction pour étayer ses allégations. En effet, comme l’a relevé à juste titre le Procureur, s’agissant d’un délit qui ne se poursuit que sur plainte, il appartient au plaignant et non à la direction de la procédure de rassembler les éléments nécessaires démontrant la possible commission d’une infraction.</w:t>
      </w:r>
    </w:p>
    <w:p>
      <w:r>
        <w:rPr>
          <w:b/>
        </w:rPr>
        <w:t>E. 3.3.4</w:t>
      </w:r>
    </w:p>
    <w:p>
      <w:r>
        <w:t>En tout état de cause, l’art. 179 novies CP invoqué par l’avocat du recourant punit celui qui aura soustrait d’un fichier des données personnelles sensibles ou des profils de la personnalité qui ne sont pas librement accessibles. Cette disposition protège uniquement les données personnelles sensibles qui se rapportent à une personne identifiée ou identifiable (Dupuis et al., op. cit., n. 5 ss ad 179 novies CP). Dans le cas d’espèce, il n’y a aucun indice de la soustraction de données personnelles sensibles, de sorte que ce moyen tombe à faux.</w:t>
      </w:r>
    </w:p>
    <w:p>
      <w:r>
        <w:rPr>
          <w:b/>
        </w:rPr>
        <w:t>E. 4</w:t>
      </w:r>
    </w:p>
    <w:p>
      <w:r>
        <w:t>En définitive, le recours, manifestement mal fondé, doit être rejeté sans autres échanges d’écritures (art. 390 al. 2 CPP) et l’ordonnance de non-entrée en matière du 24 juillet 2015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24 juillet 2015 est confirmée. III. Les frais d’arrêt, par 880 fr. (huit cent huitante francs), sont mis à la charge du recourant. IV. Le présent arrêt est exécutoire. Le président :               La greffière : Du Le présent arrêt, dont la rédaction a été approuvée à huis clos, est notifié, par l'envoi d'une copie complète, à : - M. Fabien Hohenauer, avocat (pour E.________),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