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 vom 27. Januar 2015</w:t>
      </w:r>
    </w:p>
    <w:p>
      <w:r>
        <w:t>VD Tribunal cantonal, 2015-01-27, FR</w:t>
      </w:r>
    </w:p>
    <w:p>
      <w:r>
        <w:rPr>
          <w:b/>
        </w:rPr>
        <w:t xml:space="preserve">Quelle: </w:t>
      </w:r>
      <w:r>
        <w:t>https://mcp.opencaselaw.ch/entscheid/vd_findinfo_D_cision___2015___77</w:t>
      </w:r>
    </w:p>
    <w:p>
      <w:r>
        <w:t>FR: VD_FINDINFO Décision / 2015 / 77 du 27 janvier 2015</w:t>
      </w:r>
    </w:p>
    <w:p>
      <w:r>
        <w:t>IT: VD_FINDINFO Décision / 2015 / 77 del 27 gennaio 2015</w:t>
      </w:r>
    </w:p>
    <w:p>
      <w:pPr>
        <w:pStyle w:val="Heading2"/>
      </w:pPr>
      <w:r>
        <w:t>Regeste</w:t>
      </w:r>
    </w:p>
    <w:p>
      <w:r>
        <w:t>AVOCAT D'OFFICE | 132 CPP (CH)</w:t>
      </w:r>
    </w:p>
    <w:p>
      <w:pPr>
        <w:pStyle w:val="Heading2"/>
      </w:pPr>
      <w:r>
        <w:t>Erwägungen</w:t>
      </w:r>
    </w:p>
    <w:p>
      <w:r>
        <w:rPr>
          <w:b/>
        </w:rPr>
        <w:t>E. 1</w:t>
      </w:r>
    </w:p>
    <w:p>
      <w:r>
        <w:t>Interjeté dans le délai légal (art. 396 al. 1 CPP [Code de procédure pénale suisse du 5 octobre 2007, RS 312.0]) contre une ordonnance de refus de désignation d’un défenseur d’office du ministère public (art. 393 al. 1 let. a CPP), par une partie qui a qualité pour recourir (art. 382 al. 1 CPP; CREP 18 juillet 2014/498), et dans les formes prescrites (art. 385 al. 1 CPP), le recours est recevable.</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2.2</w:t>
      </w:r>
    </w:p>
    <w:p>
      <w:r>
        <w:t>En l'espèce, les faits reprochés à la recourante sont simples, même si la prévenue fait valoir qu’il ressortirait du procès-verbal de son audition du 18 novembre 2014 qu’une déclaration établie en février 2011 à l’intention de l’autorité administrative ne concernerait pas seulement ses revenus du mois de décembre 2010 mais aussi ceux de janvier 2011 (PV aud. 1, lignes 89 à 91). En effet, en l’état de la procédure, les faits incriminés ressortent pour l’essentiel des pièces du dossier administratif produites par la plaignante et du décompte établi sur la base de celles-ci, complétés par le bordereau produit par la prévenue à l’audience (P. 15). Par identité de motifs, peu importe également que la procureure ait prévu de nouvelles auditions pour le 17 février 2015 en présence de la prévenue. Le fait que la recourante soit partie à un conflit du travail en raison du même complexe de faits et qu’elle plaide au bénéfice de l'assistance judiciaire dans cette procédure ne constitue pas un motif de lui conférer le droit à l'assistance d'un défenseur d'office au pénal. En effet, vu la simplicité de la cause, elle est en mesure de se déterminer sans l'aide d'un avocat sur les faits qui lui sont reprochés. Sa profession de vendeuse en confection ne préjuge en rien de son incapacité à présenter ses moyens en s’exprimant de manière intelligible, ce qu’elle paraît bien plutôt à même de faire à la lecture du procès-verbal de son audition, ses réponses ayant été fournies sans l’assistance de son mandataire. Il doit être ajouté que la défense d'office selon l’art. 132 CPP n’a pas pour finalité de permettre au prévenu d’affermir sa position dans un procès civil relatif au même complexe de faits, moins encore de plaider la cause en question. La connexité partielle des deux procédures n’est ainsi pas un critère légal pour ce qui est de la défense d'office. Peu importe enfin la raison pour laquelle la prévenue n’a pas contesté une précédente ordonnance de refus de désignation d’un défenseur d’office, rendue le 17 septembre 2014. Il s’ensuit que la recourante ne rend pas vraisemblable que la cause comporterait des spécificités qui justifieraient l’assistance d’un avocat. Enfin, la peine à laquelle s'expose la recourante est inférieure à celle visée à l'art. 132 al. 3 CPP. Il s’agit ainsi d’un "cas bagatelle" au regard de la jurisprudence fédérale. L’une des conditions cumulatives de la défense d’office faisant défaut, il n’y a pas lieu d’examiner la seconde, soit celle de l’indigence de la recourante (art. 132 al. 1 let. b CPP). Au vu de ce qui précède, l’assistance d’un avocat n’est pas nécessaire à la sauvegarde des intérêts de la prévenue,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limités en l’espèce à l’émolument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8 janvier 2015 est confirmée. III. Les frais d’arrêt, par 550 fr. (cinq cent cinquante francs), sont mis à la charge de H.________. IV. Le présent arrêt est exécutoire. Le président :               Le greffier : Du L'arrêt qui précède, dont la rédaction a été approuvée à huis clos, est notifié, par l'envoi d'une copie complète, à : - M. Jean-Pierre Bloch, avocat (pour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