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769 vom 19. Oktober 2015</w:t>
      </w:r>
    </w:p>
    <w:p>
      <w:r>
        <w:t>VD Tribunal cantonal, 2015-10-19, FR</w:t>
      </w:r>
    </w:p>
    <w:p>
      <w:r>
        <w:rPr>
          <w:b/>
        </w:rPr>
        <w:t xml:space="preserve">Quelle: </w:t>
      </w:r>
      <w:r>
        <w:t>https://mcp.opencaselaw.ch/entscheid/vd_findinfo_D_cision___2015___769</w:t>
      </w:r>
    </w:p>
    <w:p>
      <w:r>
        <w:t>FR: VD_FINDINFO Décision / 2015 / 769 du 19 octobre 2015</w:t>
      </w:r>
    </w:p>
    <w:p>
      <w:r>
        <w:t>IT: VD_FINDINFO Décision / 2015 / 769 del 19 ottobre 2015</w:t>
      </w:r>
    </w:p>
    <w:p>
      <w:pPr>
        <w:pStyle w:val="Heading2"/>
      </w:pPr>
      <w:r>
        <w:t>Regeste</w:t>
      </w:r>
    </w:p>
    <w:p>
      <w:r>
        <w:t>CLASSEMENT DE LA PROCÉDURE, VIOL, INTÉGRITÉ SEXUELLE, FRAIS{EN GÉNÉRAL} | 190 CP, 136 CPP (CH), 138 CPP (CH), 319 CPP (CH), 420 CPP</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 RSV 173.01]). Interjeté dans le délai légal auprès de l’autorité compétente par la partie plaignante, qui a qualité pour recourir (cf. art. 382 al. 1 CPP), le recours est recevable.</w:t>
      </w:r>
    </w:p>
    <w:p>
      <w:r>
        <w:rPr>
          <w:b/>
        </w:rPr>
        <w:t>E. 2.1</w:t>
      </w:r>
    </w:p>
    <w:p>
      <w:r>
        <w:t>La recourante soutient qu’en ordonnant le classement de la procédure pénale, le Ministère public aurait violé le principe in dubio pro duriore . Elle estime que l’instruction aurait d’ores et déjà révélé des soupçons suffisants contre le prévenu, justifiant la mise en accusation de F.________ du chef de viol (art. 190 CP).</w:t>
      </w:r>
    </w:p>
    <w:p>
      <w:r>
        <w:rPr>
          <w:b/>
        </w:rPr>
        <w:t>E. 2.2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(ATF 137 IV 219 consid. 7 ; ATF 138 IV 86 consid. 4.1.1 ; ATF 138 IV 186 consid. 4.1 ; TF 1B_272/2011 du 22 mars 2012 consid. 3.1.1).</w:t>
      </w:r>
    </w:p>
    <w:p>
      <w:r>
        <w:rPr>
          <w:b/>
        </w:rPr>
        <w:t>E. 2.3</w:t>
      </w:r>
    </w:p>
    <w:p>
      <w:r>
        <w:t>Selon l'art. 190 al. 1 CP, se rend coupable de viol celui qui, notamment en usant de menace ou de violence, en exerçant sur sa victime des pressions d'ordre psychique ou en la mettant hors d'état de résister, aura contraint une personne de sexe féminin à subir l'acte sexuel. Concernant les moyens de contrainte, ils sont identiques à ceux prévus pour l’infraction de contrainte sexuelle (art. 189 CP). Cette disposition énumère de façon non exhaustive plusieurs moyens de contrainte, tels que la violence, la menace, les pressions d’ordre psychique et la mise hors d’état de résister. Dans le nouveau droit, la contrainte sexuelle ne suppose plus que la victime soit totalement hors d’état de résister. Il n’en demeure pas moins qu’une certaine intensité est requise. S’agissant des notions de violences et de menaces, on ne peut pas se référer à l’art. 181 CP. En effet, au vu de la gravité de la peine qui peut être infligée en cas de contrainte sexuelle ou de viol, les art. 189 et 190 CP supposent une atteinte plus grave à la liberté d’action de la victime que l’art. 181 CP. Pour déterminer si l’on se trouve en présence d’une contrainte sexuelle, il faut procéder à une appréciation globale des circonstances concrètes (Dupuis, Geller, Monnier, Moreillon, Piguet, Bettex et Stoll, Petit Commentaire du Code pénal, Bâle 2012, nn. 11 et 12 ad art. 189, p. 1157).</w:t>
      </w:r>
    </w:p>
    <w:p>
      <w:r>
        <w:rPr>
          <w:b/>
        </w:rPr>
        <w:t>E. 2.4</w:t>
      </w:r>
    </w:p>
    <w:p>
      <w:r>
        <w:t>En l’espèce, la recourante prétend qu’elle aurait été forcée à subir l’acte sexuel et que pour ce faire, F.________ aurait fermé la porte de sa chambre à clé. Il ressort toutefois de plusieurs témoignages (PV aud. 2 p. 3, PV aud. 4 p. 3 et PV aud. 5 p. 2) que la porte de la chambre de l’intimé fermait mal et que, pour la fermer, ce dernier devait tourner la molette. C’est d’ailleurs par ce geste que la recourante a pu quitter la chambre quand elle l’a voulu, F.________ n’ayant pas cherché à la retenir (PV aud. 1 p. 2). Pour le surplus, on relève que l’intimé a immédiatement admis avoir eu une relation sexuelle avec la recourante et a donné, tout au long de la procédure, une version constante des faits. Il a expliqué avoir eu des rapports sexuels avec X.________, laquelle aurait été consentante, et que de prime abord, les choses auraient commencé par un jeu de séduction entre les deux protagonistes. En outre, J.________, également présent lors de la soirée dans la chambre de l’intimé, a indiqué qu’il avait senti un rapprochement entre F.________ et X.________, notamment qu’ils échangeaient des petits sourires et des petits regards, pensant qu’il allait peut-être se passer quelque chose entre eux (PV aud. 5 p. 2). Si la version de l’intimé est constante, tel n’est pas le cas de celle de la recourante. Ses déclarations comportent des contradictions. Entendu comme témoin, L.________, petit ami de la recourante, a rapporté ce qu’elle lui avait raconté lorsqu’elle lui avait téléphoné le soir des faits à 4h42, notamment que quelqu’un serait entré dans sa chambre alors qu’elle était en train de nettoyer, mais que plus tard dans la même journée, elle s’était rendue compte que les faits avaient eu lieu dans la chambre où elle avait fait la fête avec ses amis. L.________ a précisé que, d’après ce que la recourante lui avait confié, un homme serait venu vers elle alors qu’elle tentait de crier, il lui aurait mis la main sur la bouche, elle lui aurait mordu le doigt et après cela il se serait énervé et l’aurait griffée au visage. La recourante aurait ainsi fait comprendre à son ami qu’elle avait été violée tout en lui faisant promettre de ne rien dire à son père (PV aud. 9 p. 3). Finalement mis au courant, le père de la plaignante a alerté la police ainsi que l’établissement où travaillait sa fille. La police a pris contact avec X.________, lui rapportant ses déclarations selon lesquelles elle avait subi une relation sexuelle non consentie avec F.________. Le lendemain, la recourante a expliqué à l’inspectrice qu’il s’agissait d’un malentendu, que l’intimé lui avait fait des avances mais qu’elle les avait refusées et avait quitté la chambre. A la suite d’un échange de messages avec son père, elle s'est toutefois présentée au poste de police en date du 11 juin 2014 afin de déposer une plainte pénale, revenant sur sa précédente version des faits (P. 16 p. 11). Enfin, aucun constat médical n’a été établi.</w:t>
      </w:r>
    </w:p>
    <w:p>
      <w:r>
        <w:rPr>
          <w:b/>
        </w:rPr>
        <w:t>E. 2.5</w:t>
      </w:r>
    </w:p>
    <w:p>
      <w:r>
        <w:t>Au vu de ces contradictions, la crédibilité de la plaignante paraît pour le moins sujette à caution. Ainsi, dans l’hypothèse d’un renvoi de l’affaire en jugement, les chances d’acquittement de F.________ seraient nettement plus importantes que les risques d’une condamnation. Il s’ensuit que le principe in dubio pro duriore ne saurait justifier la mise en accusation du prévenu. Le classement de la procédure est donc bien fondé.</w:t>
      </w:r>
    </w:p>
    <w:p>
      <w:r>
        <w:rPr>
          <w:b/>
        </w:rPr>
        <w:t>E. 3</w:t>
      </w:r>
    </w:p>
    <w:p>
      <w:r>
        <w:t>Dans la mesure où les déclarations de X.________ ont provoqué l’ouverture de la procédure, puis ont notablement compliqué son instruction, c’est à bon droit que les frais ont été mis à la charge de la plaignante (art. 420 let. a CPP ; TF 6B_5/2013 du 19 février 2013 consid. 2.5 et 2.6 et les références citées), ce qui n’est d’ailleurs pas expressément contesté.</w:t>
      </w:r>
    </w:p>
    <w:p>
      <w:r>
        <w:rPr>
          <w:b/>
        </w:rPr>
        <w:t>E. 4</w:t>
      </w:r>
    </w:p>
    <w:p>
      <w:r>
        <w:t>En définitive, le recours doit être rejeté sans autre échange d’écritures (art. 390 al. 2 CPP) et l’ordonnance de classement doit être confirmée dans son entier. Vu l’octroi à la recourante de l’assistance judiciaire comprenant l’exonération des frais de procédure (art. 136 al. 2 let. b CPP) et l’assistance d’un conseil juridique gratuit (art. 136 al. 2 let. b CPP) indemnisé conformément à l’art. 135 al. 1 CPP (applicable par analogie en vertu du renvoi de l’art. 138 al. 1 CPP), les frais de la procédure de recours – constitués en l’espèce de l’émolument d’arrêt, par 880 fr. (art. 20 al. 1 TFJP [tarif des frais judiciaires pénaux ; RSV 312.03.1]) et des frais imputables à l’assistance judiciaire gratuite (art. 422 al. 1 et 2 let. a CPP), fixés à 540 fr., plus la TVA par 43 fr. 20, soit au total 583 fr. 20 – ne peuvent être mis à la charge de la recourante qui succombe (art. 428 al. 1 CPP), mais doivent être provisoirement laissés à la charge de l’Etat (Goran Mazzuchelli/Mario Postizzi, in : Niggli/Heer/Wiprächtiger, Basler Kommentar, Schweizerische Strafprozessordnung, Jugendstrafprozessordnung, 2 e éd., Bâle 2014, n. 4 ad art. 138 CPP ; Maurice Harari/Corinne Corminboeuf, in : Kuhn/Jeanneret [éd.], Code de procédure pénale suisse, Commentaire romand, Bâle 2011, n. 51 ad art. 136 CPP). La recourante est toutefois tenue de rembourser ces frais à l’Etat dès que sa situation financière le permettra (art. 135 al. 4 CPP et 138 al. 1 CPP ; Mazzuchelli/Postizzi, op. cit., n. 4 ad art. 138 CPP ; Harari/Corminboeuf, op. cit., n. 11 ad art. 138 CPP) (CREP 15 juin 2015/396 ; CREP 9 juillet 2013/652). Par ces motifs, la Chambre des recours pénale prononce : I. Le recours est rejeté. II. L’ordonnance du 5 août 2015 est confirmée. III. L'indemnité allouée au conseil juridique gratuit de X.________ est fixée à 583 fr. 20 (cinq cent huitante-trois francs et vingt centimes). IV. Les frais d’arrêt, par 880 fr. (huit cent huitante francs), ainsi que l'indemnité allouée au conseil juridique gratuit de la recourante, par 583 fr. 20 (cinq cent huitante-trois francs et vingt centimes), sont provisoirement laissés à la charge de l’Etat. V. La recourante est tenue de rembourser à l’Etat l’indemnité allouée au chiffre III ci-dessus ainsi que les frais fixés au chiffre IV ci-dessus dès que sa situation financière le permettra. VI. Le présent arrêt est exécutoire. Le président :               La greffière : Du Le présent arrêt, dont la rédaction a été approuvée à huis clos, est notifié, par l'envoi d'une copie complète, à : - Me Aba Neeman (pour X.________), - Me Martine Dang (pour F.________),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