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765 vom 8. Oktober 2015</w:t>
      </w:r>
    </w:p>
    <w:p>
      <w:r>
        <w:t>VD Tribunal cantonal, 2015-10-08, FR</w:t>
      </w:r>
    </w:p>
    <w:p>
      <w:r>
        <w:rPr>
          <w:b/>
        </w:rPr>
        <w:t xml:space="preserve">Quelle: </w:t>
      </w:r>
      <w:r>
        <w:t>https://mcp.opencaselaw.ch/entscheid/vd_findinfo_D_cision___2015___765</w:t>
      </w:r>
    </w:p>
    <w:p>
      <w:r>
        <w:t>FR: VD_FINDINFO Décision / 2015 / 765 du 8 octobre 2015</w:t>
      </w:r>
    </w:p>
    <w:p>
      <w:r>
        <w:t>IT: VD_FINDINFO Décision / 2015 / 765 del 8 ottobre 2015</w:t>
      </w:r>
    </w:p>
    <w:p>
      <w:pPr>
        <w:pStyle w:val="Heading2"/>
      </w:pPr>
      <w:r>
        <w:t>Regeste</w:t>
      </w:r>
    </w:p>
    <w:p>
      <w:r>
        <w:t>NON-LIEU, INDEMNITÉ{EN GÉNÉRAL}, AVOCAT | 426 al. 2 CPP (CH), 429 al. 1 let. a CPP (CH), 430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 prévenu qui a la qualité pour recourir (cf. art. 382 al. 1 CPP), le recours de A.________ est recevable.</w:t>
      </w:r>
    </w:p>
    <w:p>
      <w:r>
        <w:rPr>
          <w:b/>
        </w:rPr>
        <w:t>E. 2</w:t>
      </w:r>
    </w:p>
    <w:p>
      <w:r>
        <w:t>Le recours ne portant pas sur le classement de la procédure, mais uniquement sur le refus d’une indemnité du chef de l’art. 429 CPP, ce qui constitue une conséquence économique accessoire de la décision (cf. Stephenson/Thiriet, in: Niggli/Heer/Wiprächtiger [éd.], Basler Kommentar, Schweizerische Strafprozess-ordnung, Jugendstrafprozessordnung, 2e éd., Bâle 2014, n. 5 ad art. 395 CPP; Juge unique CREP 23 octobre 2013/643), l’art. 395 al. 1 let. b CPP entre en considération. Vu la valeur litigieuse en cause, laquelle n’excède en l’occurrence pas le montant de 5'000 fr., le recours relève de la compétence d’un juge unique de la Chambre des recours pénale (cf. art. 395 let. b CPP et art. 13 al. 2 LVCPP [loi d’introduction du Code de procédure pénale suisse; RSV 312.01]).</w:t>
      </w:r>
    </w:p>
    <w:p>
      <w:r>
        <w:rPr>
          <w:b/>
        </w:rPr>
        <w:t>E. 3.1</w:t>
      </w:r>
    </w:p>
    <w:p>
      <w:r>
        <w:t>D'après l'art. 429 al. 1 let a CPP, si le prévenu est acquitté totalement ou en partie ou s'il bénéficie d'une ordonnance de classement, il a droit à une indem-nité pour les dépenses occasionnées par l'exercice raisonnable de ses droits de procédure. Une mise à la charge des frais selon l’art.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la caisse de l’Etat, le prévenu dispose d’un droit à des dépens (ATF 137 IV 352 c. 2.4.2 p. 357, JT 2012 IV 255). L'indemnité selon l'art. 429 al. 1 let. a CPP concerne les dépenses du prévenu pour un avocat de choix (ATF 139 IV 241 c. 1; ATF 138 IV 205 c. 1 p. 206). Elle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et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être le cas par exemple lorsque la procédure fait immédiatement l’objet d’un classement après une première audition (ATF 138 IV 197 c. 2.3.5, JT 2013 IV 184 ; TF 6B_387/2013 du 8 juillet 2013 c. 2.1 non publié aux ATF 139 IV 241).</w:t>
      </w:r>
    </w:p>
    <w:p>
      <w:r>
        <w:rPr>
          <w:b/>
        </w:rPr>
        <w:t>E. 3.2</w:t>
      </w:r>
    </w:p>
    <w:p>
      <w:r>
        <w:t>En l’espèce, l'instruction a été ouverte pour lésions corporelles simples par négligence au sens de l’art. 125 al. 1 CP. S’agissant d’un délit (art. 10 al. 3 CP), et compte tenu de la nature de de l’affaire, le recours à un avocat était justifié. Les frais n’ont par ailleurs pas été mis à la charge de A.________, qui a bénéficié d’un classement. A cet égard, on peut relever que si le Procureur doutait de la véracité des propos de l’intéressée et la soupçonnait d’avoir couvert un tiers, il lui appartenait de la poursuivre pour entrave à l’action pénale, ce qu’il n’a pas fait. A.________ peut donc, sur le principe, prétendre à une indemnité de l'art. 429 al. 1 let. a CPP. Les deux notes d’honoraires produites par A.________ le 9 juin 2015 font état, au total, de 13 heures de travail et de 124 fr. 20 de débours, ce qui est acceptable, selon le détail suivant : - note pour la période du 3 février au 6 mars 2015 : 6 heures 30 d’activité d’avocat, 3 heures d’activité d’avocat-stagiaire et 100 fr. de débours, plus TVA, - note pour la période du 7 mars au 9 juin 2015 : 1 heure 15 d’activité d’avocat, 2 heures 15 d’activité d’avocat-stagiaire et 24 fr. 20 de débours, plus TVA. Compte tenu de la fourchette fixée à l'art. 26a al. 3 TFIP (tarif des frais de procédure et indemnités en matière pénale du 28 septembre 2010 ; RSV 312.03.1), un tarif horaire de 300 fr. pour l’avocat et de 160 fr. pour l’avocat-stagiaire doit être retenu. En conséquence, la quotité des honoraires relevant de l’art. 429 al. 1 let. a CPP peut être arrêtée à 3'542 fr. 40, selon le calcul suivant : Honoraires 1 ère note :              1'950 fr. (6,5h x 300 fr.) 480 fr. (3h x 160 fr.) Honoraires 2 ème note : 375 fr. (1,25h x 300 fr.) 360 fr. (2,25h x 160 fr.) Débours 1 ère note :                 100 fr. Débours 2 ème note : 24 fr. 20 TVA (8%) 1 ère note : 194 fr. 40 TVA (8%) 2 ème note : 58 fr. 80 --------------------------------------------------------------------------------- TOTAL : 3'542 fr. 40 =============================================</w:t>
      </w:r>
    </w:p>
    <w:p>
      <w:r>
        <w:rPr>
          <w:b/>
        </w:rPr>
        <w:t>E. 4</w:t>
      </w:r>
    </w:p>
    <w:p>
      <w:r>
        <w:t>Il résulte de ce qui précède que le recours doit être admis et l’ordon-nance du 22 juin 2015 réformée au chiffre III de son dispositif en ce sens qu’une indemnité de 3'542 fr. 40, à la charge de l’Etat, est allouée à A.________ en vertu de l’art. 429 al. 1 let. a CPP. Les frais de la procédure de recours, constitués en l’espèce de l’émolu-ment d’arrêt (art. 422 al. 1 CPP), par 630 fr. (art. 20 al. 1 TFIP) seront, au vu du sort de la cause, laissés à la charge de l’Etat (art. 423 et 428 al. 1 CPP). Enfin, A.________, qui a obtenu gain de cause et qui a procédé avec l'assistance de son défenseur, a droit à une juste indemnité pour les dépenses occasionnées par la procédure de recours, laquelle sera fixée à 600 fr., plus la TVA par 48 fr., soit un total de 648 fr., à la charge de l’Etat (art. 429 al. 1 let. a CPP, applicable par renvoi de l’art. 436 al. 1 CPP). Par ces motifs, le juge unique prononce : I. Le recours est admis. II. L’ordonnance du 22 juin 2015 est réformée comme il suit au chiffre III de son dispositif : III. alloue à A.________ la somme de 3'542 fr. 40 fr. (trois mille cinq cent quarante-deux francs et quarante centimes) à titre d’indemnité de l’art. 429 al. 1 let. a CPP, à la charge de l’Etat. L’ordonnance est confirmée pour le surplus. III. Une indemnité de 648 fr. (six cent quarante-huit francs) est allouée à A.________ pour la procédure de recours, à la charge de l’Etat. IV. Les frais du présent arrêt, par 630 fr. (six cent trente francs), sont laissés à la charge de l’Etat. V. Le présent arrêt est exécutoire Le juge unique :               La greffière : Du Le présent arrêt, dont la rédaction a été approuvée à huis clos, est notifié, par l'envoi d'une copie complète, à : - M. Jérôme Picot, avocat (pour A.________), - M. V.________, - Ministère public central, et communiqué à : ‑ Service des automobiles et de la navigation,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