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764 vom 29. September 2015</w:t>
      </w:r>
    </w:p>
    <w:p>
      <w:r>
        <w:t>VD Tribunal cantonal, 2015-09-29, FR</w:t>
      </w:r>
    </w:p>
    <w:p>
      <w:r>
        <w:rPr>
          <w:b/>
        </w:rPr>
        <w:t xml:space="preserve">Quelle: </w:t>
      </w:r>
      <w:r>
        <w:t>https://mcp.opencaselaw.ch/entscheid/vd_findinfo_D_cision___2015___764</w:t>
      </w:r>
    </w:p>
    <w:p>
      <w:r>
        <w:t>FR: VD_FINDINFO Décision / 2015 / 764 du 29 septembre 2015</w:t>
      </w:r>
    </w:p>
    <w:p>
      <w:r>
        <w:t>IT: VD_FINDINFO Décision / 2015 / 764 del 29 settembre 2015</w:t>
      </w:r>
    </w:p>
    <w:p>
      <w:pPr>
        <w:pStyle w:val="Heading2"/>
      </w:pPr>
      <w:r>
        <w:t>Regeste</w:t>
      </w:r>
    </w:p>
    <w:p>
      <w:r>
        <w:t>NON-LIEU | 319 al. 1 CPP</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(cf. art. 382 al. 1 CPP; CREP 19 novembre 2014/828), et satisfaisant aux conditions de forme posées par la loi malgré une certaine confusion dans l’articulation des moyens soulevés (cf. art. 385 al. 1 CPP), le recours est recevable, étant précisé que le recours pour déni de justice ou retard injustifié n'est soumis à aucun délai (art. 396 al. 2 CPP).</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2.2</w:t>
      </w:r>
    </w:p>
    <w:p>
      <w:r>
        <w:t>En l’espèce, le recourant reproche d’abord à la Procureure un déni de justice, soit un retard injustifié, pour avoir tardé à notifier l’ordonnance de classement contestée après avoir rendu une première décision sur le même objet le 30 janvier 2015 (P. 17/2). Ce grief confond d’abord l’avis de prochaine clôture et l’ordonnance de classement, qui constituent des actes de procédure distincts à teneur de la loi (art. 318 al. 1 et 319 al. 1 CPP). Ensuite, si le délai séparant ces deux décisions paraît certes significatif de prime abord, il n’en reste pas moins que des actes de procédure ont été accomplis dans l’intervalle, s’agissant en particulier du traitement de divers courriers. C’est ainsi, notamment, que le conseil de la prévenue N.________ a fait parvenir à la Procureure sa note d’honoraires au sens de l’art. 429 CPP le 13 février 2015 (P. 16/4); l’imprécision de la liste d’opérations initialement versée au dossier a justifié une demande de complément de la Procureure, à laquelle l’avocate a donné suite par acte erronément daté du 13 février 2015 également, mais reçu par le greffe le 6 juillet 2015 (P. 22 ; cf. aussi PV des opérations, p. 4). Ces circonstances excluent tout déni de justice pour retard injustifié constitutif d’une violation de l'art. 29 al. 1 Cst. (Constitution fédérale du 18 avril 1999; RS 101), soit du devoir de célérité imposé aux autorités pénales par l’art. 5 al. 1 CPP. Du reste, les lettres de la Procureure au plaignant des 16 mars et 11 juin 2015 (P. 18 et 20) étaient de nature à apaiser les inquiétudes du recourant quant à la célérité de la procédure.</w:t>
      </w:r>
    </w:p>
    <w:p>
      <w:r>
        <w:rPr>
          <w:b/>
        </w:rPr>
        <w:t>E. 2.3</w:t>
      </w:r>
    </w:p>
    <w:p>
      <w:r>
        <w:t>Le recourant               invoque ensuite un abus du pouvoir d’appréciation. Il n’étaye toutefois pas ce moyen, se limitant à exprimer son désaccord avec le classement prononcé. En particulier, il n’indique pas en quoi le dispositif de l’ordonnance prêterait le flanc à la critique. Il ne précise pas sur la base de quels faits une autre décision devrait, selon lui, être rendue, s’agissant singulièrement de la poursuite de l’instruction, de la notification d’une ordonnance pénale ou du renvoi de l’un au moins des prévenus devant l’autorité de jugement. La Cour de céans considère que le dossier ne comporte aucun élément qui permettrait d’incriminer quiconque à raison des faits dénoncés par le plaignant, pour autant du reste qu’il s’agisse d’actes postérieurs au délai de plainte de l’art. 31 CP (Code pénal ; RS 311.0). En d’autres termes, les perspectives d’une condamnation paraissent, pour tous les prévenus, manifestement inférieures à celles d’une libération. Les conditions du classement de la procédure pénale apparaissent donc réunies selon l’art. 319    al. 1 let. a et b CPP, comme en a statué la Procureure.</w:t>
      </w:r>
    </w:p>
    <w:p>
      <w:r>
        <w:rPr>
          <w:b/>
        </w:rPr>
        <w:t>E. 2.4</w:t>
      </w:r>
    </w:p>
    <w:p>
      <w:r>
        <w:t>Enfin, le recourant demande que l’instruction pénale soit étendue à divers autres magistrats, fonctionnaires et employés de l’Etat de Vaud, des Chemins de fer fédéraux et de la Confédération, qu’il tient pour impliqués dans le complexe de faits litigieux. Il suffit à cet égard de constater que les personnes en question, nommément désignées, ne sont pas parties à la présente procédure pénale et ne l’ont jamais été. S’agissant de tiers, étrangers au SPJ et au complexe de faits litigieux, on peine du reste à discerner les motifs de leur implication par le plaignant. Une extension de l’instruction selon l’art. 311 al. 2 CPP n’entre donc pas en ligne de compte. Le recours est dès lors irrecevable sur ce point.</w:t>
      </w:r>
    </w:p>
    <w:p>
      <w:r>
        <w:rPr>
          <w:b/>
        </w:rPr>
        <w:t>E. 3</w:t>
      </w:r>
    </w:p>
    <w:p>
      <w:r>
        <w:t>En définitive, le recours, manifestement mal fondé, doit être rejeté sans autres échanges d’écritures (art. 390 al. 2 CPP) dans la mesure où il est recevable et l'ordonnance du 7 juillet 2015 confirmée. Les frais de la procédure de recours, constitués en l'espèce de l'émolument d’arrêt, par 770 fr. (art. 20 al. 1 TFIP [Tarif des frais de procédure et indemnités en matière pénale du 28 septembre 2010; RSV 312.03.1]), seront mis à la charge du recourant, qui succombe (art. 428 al. 1 CPP). Le montant de 550 fr. déjà versé par le recourant à titre de sûretés (art. 383 al. 1 CPP) sera imputé sur les frais mis à sa charge (art. 7 TFIP). Par ces motifs, la Chambre des recours pénale prononce : I. Le recours est rejeté dans la mesure où il est recevable. II. L'ordonnance du 7 juillet 2015 est confirmée. III. Les frais d’arrêt, par 770 fr. (sept cent septante francs), sont mis à la charge de T.________. IV. Le montant de 550 fr. (cinq cent cinquante francs) déjà versé par le recourant à titre de sûretés est imputé sur les frais mis à sa charge au chiffre III ci-dessus. V. L’arrêt est exécutoire. Le président :               Le greffier : Du Le présent arrêt, dont la rédaction a été approuvée à huis clos, est notifié, par l'envoi d'une copie complète, à : - M. T.________, - Mme Véronique Fontana, avocate (pour N.________), - Mme R.________, - Mme E.________, - M.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