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763 vom 19. Oktober 2015</w:t>
      </w:r>
    </w:p>
    <w:p>
      <w:r>
        <w:t>VD Tribunal cantonal, 2015-10-19, FR</w:t>
      </w:r>
    </w:p>
    <w:p>
      <w:r>
        <w:rPr>
          <w:b/>
        </w:rPr>
        <w:t xml:space="preserve">Quelle: </w:t>
      </w:r>
      <w:r>
        <w:t>https://mcp.opencaselaw.ch/entscheid/vd_findinfo_D_cision___2015___763</w:t>
      </w:r>
    </w:p>
    <w:p>
      <w:r>
        <w:t>FR: VD_FINDINFO Décision / 2015 / 763 du 19 octobre 2015</w:t>
      </w:r>
    </w:p>
    <w:p>
      <w:r>
        <w:t>IT: VD_FINDINFO Décision / 2015 / 763 del 19 ottobre 2015</w:t>
      </w:r>
    </w:p>
    <w:p>
      <w:pPr>
        <w:pStyle w:val="Heading2"/>
      </w:pPr>
      <w:r>
        <w:t>Regeste</w:t>
      </w:r>
    </w:p>
    <w:p>
      <w:r>
        <w:t>AVOCAT D'OFFICE | 132 al. 1 let. b CPP (CH), 132 al. 2 CPP (CH), 132 al. 3 CPP (CH), 132 CPP (CH)</w:t>
      </w:r>
    </w:p>
    <w:p>
      <w:pPr>
        <w:pStyle w:val="Heading2"/>
      </w:pPr>
      <w:r>
        <w:t>Erwägungen</w:t>
      </w:r>
    </w:p>
    <w:p>
      <w:r>
        <w:rPr>
          <w:b/>
        </w:rPr>
        <w:t>E. 1</w:t>
      </w:r>
    </w:p>
    <w:p>
      <w:r>
        <w:t>Interjeté dans le délai légal (art. 396 al. 1 CPP) contre une ordonnance du ministère public refusant la désignation d'un défenseur d'office (art. 393 al. 1, let. a CPP; Moreillon/Parein-Reymond, Code de procédure pénale, Petit commentaire, Bâle 2013, n. 18 ad art. 132 CPP ; CREP 7 octobre 2014/734), par le prévenu qui a qualité pour recourir (art. 382 al. 1 CPP), et dans les formes prescrites (art. 385 al. 1 CPP), le recours est recevable.</w:t>
      </w:r>
    </w:p>
    <w:p>
      <w:r>
        <w:rPr>
          <w:b/>
        </w:rPr>
        <w:t>E. 2.1</w:t>
      </w:r>
    </w:p>
    <w:p>
      <w:r>
        <w:t>L’art. 130 CPP énumère les cas où le prévenu doit obligatoirement avoir un défenseur dans le cadre de la procédure pénale. En dehors de ces cas, la direction de la procédure ordonne une défense d’office si le prévenu ne dispose pas des moyens nécessaires et si l’assistance d’un défenseur est justifiée pour sauvegarder ses intérêts (art. 132 al. 1 let. b CPP). Ces deux conditions sont cumulatives (Harari/Aliberti, in : Kuhn/ Jeanneret [éd.], Commentaire romand, Code de procédure pénale suisse, Bâle 2011, n. 55 ad art. 132 CPP). Une personne est indigente lorsqu’elle n'est pas en mesure d'acquitter les frais du procès sans avoir recours à des moyens qui lui sont nécessaires pour subvenir à ses besoins élémentaires et à ceux de sa famille (ATF 128 I 225 c. 2.5.1). La deuxième condition s'interprète à l'aune des critères mentionnés à l'art. 132 al. 2 et 3 CPP. Aux termes de l’art. 132 al. 2 CPP, une défense d’office aux fins de protéger les intérêts du prévenu indigent se justifie notamment lorsque l’affaire n’est pas de peu de gravité et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 3 CPP). Selon la jurisprudence du Tribunal fédéral,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c. 2.5.2 ; TF 1B_359/2010 du 13 décembre 2010 c. 3.2). En revanche, dans les « cas bagatelle » – soit, selon le Tribunal fédéral, ceux dans lesquels il ne risque qu'une peine de courte durée ou une amende –, le prévenu n'a pas, même s'il est indigent, de droit constitutionnel à la désignation d'un défenseur d'office gratuit (Harari/Aliberti, op. cit., n. 67 ad art. 132 CPP ; ATF 128 I 225 c. 2.5.2).</w:t>
      </w:r>
    </w:p>
    <w:p>
      <w:r>
        <w:rPr>
          <w:b/>
        </w:rPr>
        <w:t>E. 2.3</w:t>
      </w:r>
    </w:p>
    <w:p>
      <w:r>
        <w:t>En l’espèce, la première condition posée par l’art. 132 al. 1, let. b CPP, à savoir la question de l’indigence, n’est pas contestée et ne sera donc pas examinée ici. Il y a donc lieu de déterminer si l’assistance d’un défenseur dans le cas présent se justifie pour sauvegarder les intérêts du prévenu. Certes, les infractions retenues par le Ministère public dans le cadre de son enquête sont nombreuses, mais les faits décrits par la plaignante dans les diverses plaintes déposées se résument à cinq scènes de violence conjugale dont deux où la plaignante aurait reçu des coups. Au vu des faits reprochés au prévenu, il y a lieu de constater que l’affaire en cause est de peu de gravité. Le prévenu n’encourt pas une peine de plus de quatre mois de peine privative de liberté. Ainsi, comme il n’apparaît pas que la cause présente objectivement, sur le plan des faits ou du droit, des difficultés que le recourant ne pourrait pas surmonter sans l’assistance d’un avocat, c’est à bon droit que le Ministère public a refusé de lui désigner un défenseur d’office.</w:t>
      </w:r>
    </w:p>
    <w:p>
      <w:r>
        <w:rPr>
          <w:b/>
        </w:rPr>
        <w:t>E. 3</w:t>
      </w:r>
    </w:p>
    <w:p>
      <w:r>
        <w:t>Sur le vu de ce qui précède, le recours, manifestement mal fondé, doit être rejeté sans autre échange d’écritures (art. 390 al. 2 CPP) et l’ordonnance attaquée confirmée. Vu le sort de la cause, la requête de désignation d’un défenseur d’office présentée par O.________ dans son acte du 5 octobre 2015 en ce qui concerne la procédure de recours doit également être rejetée (CREP 8 septembre 2014/654, et les références citées ; Ruckstuhl, in : Niggli/Heer/Wiprächtiger [éd.], Basler Kommentar, Schweizerische Strafprozess-ordnung, Jugendstrafprozessordnung, 2 e éd., Bâle 2014, n. 10 ad art. 132 CPP). Les frais de la procédure de recours, constitués en l’espèce du seul émolument d'arrêt (art. 422 al. 1 CPP), par 550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22 septembre 2015 est confirmée. III. Les frais du présent arrêt, par 550 fr. (cinq cent cinquante francs), sont mis à la charge d’ O.________. IV. Le présent arrêt est exécutoire. Le président :               La greffière : Du Le présent arrêt, dont la rédaction a été approuvée à huis clos, est notifié, par l'envoi d'une copie complète, à : - Mme Juliette Perrin, avocate (pour O.________), - Ministère public central et communiqué à : - Mme la Procureure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