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762 vom 18. Oktober 2015</w:t>
      </w:r>
    </w:p>
    <w:p>
      <w:r>
        <w:t>VD Tribunal cantonal, 2015-10-18, FR</w:t>
      </w:r>
    </w:p>
    <w:p>
      <w:r>
        <w:rPr>
          <w:b/>
        </w:rPr>
        <w:t xml:space="preserve">Quelle: </w:t>
      </w:r>
      <w:r>
        <w:t>https://mcp.opencaselaw.ch/entscheid/vd_findinfo_D_cision___2015___762</w:t>
      </w:r>
    </w:p>
    <w:p>
      <w:r>
        <w:t>FR: VD_FINDINFO Décision / 2015 / 762 du 18 octobre 2015</w:t>
      </w:r>
    </w:p>
    <w:p>
      <w:r>
        <w:t>IT: VD_FINDINFO Décision / 2015 / 762 del 18 ottobre 2015</w:t>
      </w:r>
    </w:p>
    <w:p>
      <w:pPr>
        <w:pStyle w:val="Heading2"/>
      </w:pPr>
      <w:r>
        <w:t>Regeste</w:t>
      </w:r>
    </w:p>
    <w:p>
      <w:r>
        <w:t>NON-LIEU |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Interjeté dans le délai légal auprès de l’autorité compétente par la plaignante qui a qualité pour recourir (art. 382 al. 1 CPP), le recours est recevable.</w:t>
      </w:r>
    </w:p>
    <w:p>
      <w:r>
        <w:rPr>
          <w:b/>
        </w:rPr>
        <w:t>E. 2</w:t>
      </w:r>
    </w:p>
    <w:p>
      <w:r>
        <w:t>La recourante, invoquant une violation de l’art. 310 CPP, soutient que toute infraction ne pourrait pas d’emblée être exclue avec certitude et qu’il conviendrait dès lors d’ordonner l’ouverture d’une instruction pénale en raison des faits qu’elle a dénoncés.</w:t>
      </w:r>
    </w:p>
    <w:p>
      <w:r>
        <w:rPr>
          <w:b/>
        </w:rPr>
        <w:t>E. 2.1</w:t>
      </w:r>
    </w:p>
    <w:p>
      <w:r>
        <w:t>Aux termes de l'art. 310 al. 1 let. a CPP, une ordonnance de non-entrée en matière est rendue immédiatement – c’est-à-dire sans qu’une instruction soit ouverte (art. 309 al. 1 et 4 CPP ; TF 1B_111/2012 du 5 avril 2012 c. 2.1 ;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w:t>
      </w:r>
    </w:p>
    <w:p>
      <w:r>
        <w:rPr>
          <w:b/>
        </w:rPr>
        <w:t>E. 2.2</w:t>
      </w:r>
    </w:p>
    <w:p>
      <w:r>
        <w:t>En l’espèce, les déclarations de la recourante sont certes confuses et peuvent de prime abord paraître sujettes à caution. Il convient toutefois de tenir compte du fait qu’au moment du dépôt de sa plainte, elle se trouvait en état de décompensation. En outre, W.________ avait d’ores et déjà passé un examen gynécologique dont le constat semblait compatible avec l’agression telle qu’elle la relatait dans sa plainte. Le Procureur ne pouvait dès lors se fonder uniquement sur l’audition contradictoire de son ex-époux pour dénier toute crédibilité aux dires de la recourante, quand bien même la participation de ce dernier à la prétendue agression semblait pouvoir être écartée, et ainsi, sans ouvrir d’instruction, partir du principe que toute infraction était exclue ; il lui appartenait de prendre des mesures pour clarifier les faits. Or, le Ministère public n’a pas jugé utile de requérir la production du constat gynécologique. Les éventuelles traces biologiques qui, aux dires de la recourante, étaient présentes sur le pull-over qu’elle portait lors de l’agression et qu’elle a transmis à la police, n’ont fait l’objet d’aucune vérification. Enfin, le constat médical établi par le CURML laisse apparaître de nombreuses ecchymoses sur le corps de la recourante, ecchymoses qui pourraient également être compatibles avec les faits allégués. Au vu des éléments qui précèdent, on ne saurait exclure d’emblée et avec certitude l’existence d’une infraction contre l’intégrité sexuelle. Il incombait par conséquent au Procureur d’ouvrir une instruction afin d’élucider, dans la mesure du possible, les faits de la cause.</w:t>
      </w:r>
    </w:p>
    <w:p>
      <w:r>
        <w:rPr>
          <w:b/>
        </w:rPr>
        <w:t>E. 3</w:t>
      </w:r>
    </w:p>
    <w:p>
      <w:r>
        <w:t>Il résulte de ce qui précède que le recours doit être admis et l’ordonnance attaquée annulée. Le dossier de la cause sera renvoyé au Ministère public pour qu’il procède dans le sens des considérants (cf. c. 2 supra). La recourante ayant rendu vraisemblable la réalisation des conditions de l’art. 136 CPP, il convient de faire droit à sa requête tendant à la désignation de Me Bertrand Demierre comme conseil juridique gratuit pour la procédure de recours. Au vu du mémoire produit, une indemnité de 640 fr., plus la TVA, par 51 fr. 20, soit 691 fr. 20, sera allouée à ce dernier. Les frais de la procédure de recours, constitués en l'espèce de l'émolument d'arrêt, par 660 fr. (art. 20 al. 1 TFIP [Tarif des frais de procédure et indemnités en matière pénale du 28 septembre 2010, RSV 312.03.1]), ainsi que de l’indemnité allouée au conseil juridique gratuit de la recourante (art. 422 al. 2 let. a CPP), par 691 fr. 20, seront laissés à la charge de l'Etat (art. 428 al. 4 CPP). Par ces motifs, la Chambre des recours pénale prononce : I. Le recours est admis. II. L’ordonnance du 4 août 2015 est annulée. III. Le dossier de la cause est renvoyé au Ministère public de l’arrondissement de l’Est vaudois pour qu’il procède dans le sens des considérants. IV. Me Bertrand Demierre est désigné comme conseil juridique gratuit de W.________ pour la procédure de recours et son indemnité est fixée à 691 fr. 20 (six cent nonante et un francs et vingt centimes). V. Les frais d’arrêt, par 660 fr. (six cent soixante francs), ainsi que l’indemnité due au conseil juridique gratuit de W.________, par 691 fr. 20 (six cent nonante et un francs et vingt centimes), sont laissés à la charge de l’Etat. VI. Le présent arrêt est exécutoire. Le président :               Le greffier : Du Le présent arrêt, dont la rédaction a été approuvée à huis clos, est notifié, par l'envoi d'une copie complète, à : - M. Bertrand Demierre, avocat (pour W.________),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