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759 vom 6. Oktober 2015</w:t>
      </w:r>
    </w:p>
    <w:p>
      <w:r>
        <w:t>VD Tribunal cantonal, 2015-10-06, FR</w:t>
      </w:r>
    </w:p>
    <w:p>
      <w:r>
        <w:rPr>
          <w:b/>
        </w:rPr>
        <w:t xml:space="preserve">Quelle: </w:t>
      </w:r>
      <w:r>
        <w:t>https://mcp.opencaselaw.ch/entscheid/vd_findinfo_D_cision___2015___759</w:t>
      </w:r>
    </w:p>
    <w:p>
      <w:r>
        <w:t>FR: VD_FINDINFO Décision / 2015 / 759 du 6 octobre 2015</w:t>
      </w:r>
    </w:p>
    <w:p>
      <w:r>
        <w:t>IT: VD_FINDINFO Décision / 2015 / 759 del 6 ottobre 2015</w:t>
      </w:r>
    </w:p>
    <w:p>
      <w:pPr>
        <w:pStyle w:val="Heading2"/>
      </w:pPr>
      <w:r>
        <w:t>Regeste</w:t>
      </w:r>
    </w:p>
    <w:p>
      <w:r>
        <w:t>PROCÉDURE DE CLASSEMENT, DIFFAMATION | 319 al. 1 CPP (CH)</w:t>
      </w:r>
    </w:p>
    <w:p>
      <w:pPr>
        <w:pStyle w:val="Heading2"/>
      </w:pPr>
      <w:r>
        <w:t>Erwägungen</w:t>
      </w:r>
    </w:p>
    <w:p>
      <w:r>
        <w:rPr>
          <w:b/>
        </w:rPr>
        <w:t>E. 1</w:t>
      </w:r>
    </w:p>
    <w:p>
      <w:r>
        <w:t>let. b CPP), qui dans le canton de Vaud est la Chambre des recours pénale du Tribunal cantonal (art. 13 LVCPP [loi d’introduction du code de procédure pénale suisse; RSV 312.01]; art. 80 LOJV [loi d’organisation judiciaire; RSV 173.01]). Interjeté dans le délai légal auprès de l’autorité compétente par la partie plaignante qui a la qualité pour recourir (cf. art. 382 al. 1 CPP), le recours est recevable.</w:t>
      </w:r>
    </w:p>
    <w:p>
      <w:r>
        <w:rPr>
          <w:b/>
        </w:rPr>
        <w:t>E. 2</w:t>
      </w:r>
    </w:p>
    <w:p>
      <w:r>
        <w:t>Il semble ressortir de l’acte de recours de V.________ qu’elle conteste principalement le classement de la procédure pour diffamation à l’encontre de la prévenue.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2.2</w:t>
      </w:r>
    </w:p>
    <w:p>
      <w:r>
        <w:t>Selon l'art. 173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Cette disposition protège essentiellement l’honneur personnel, soit la réputation et le sentiment d’être un homme honorable, de se comporter, en d’autres termes, comme un homme digne a coutume de le faire selon les idées généralement reçues (Favre/Pellet/Stoudmann, Code pénal annoté, 3 e édition, Lausanne 2007, n. 1.5 ad art. 173 CP; ATF 137 IV 313). Quant au degré d'intensité requis, la personne visée par l'atteinte à l'honneur doit apparaître comme méprisable (Dupuis et al., Code pénal, Petit commentaire, Bâle 2012, rem. prél. aux art. 173 à 178 CP, n. 4). Pour déterminer si une déclaration est attentatoire à l'honneur, il ne faut pas se fonder sur le sens que lui donne la personne visée, mais sur une interprétation objective selon le sens qu'un destinataire non prévenu doit, dans les circonstances données, lui attribuer.</w:t>
      </w:r>
    </w:p>
    <w:p>
      <w:r>
        <w:rPr>
          <w:b/>
        </w:rPr>
        <w:t>E. 2.3</w:t>
      </w:r>
    </w:p>
    <w:p>
      <w:r>
        <w:t>En l’espèce, la recourante reproche à la prévenue d’avoir lancé des rumeurs selon lesquelles elle serait méchante avec les enfants, ne s’occuperait pas bien d’eux et le réseau officiel de garde auquel elle est affiliée lui aurait définitivement retrié la garde de tous les enfants et plus particulièrement des bébés (PV aud. 1, p. 2). De tels propos, s’ils sont avérés, doivent être considérés comme diffamatoires dès lors qu’ils vont au-delà d’une critique portant sur une activité professionnelle (ATF 119 IV 44). La prévenue a admis avoir eu un différend avec la plaignante sur des motifs liés à la garde de sa fille, mais a contesté tout acte diffamatoire. Elle a déclaré l’avoir traitée de menteuse et avoir requis du réseau officiel de garde que la recourante ne s’occupe plus de sa fille (PV aud. 2, p. 3). S’agissant d’une éventuelle infraction de diffamation, il y a lieu de constater que les versions des parties sont totalement contradictoires et qu’en l’état, aucun soupçon justifiant une mise en accusation de la prévenue ne paraît pouvoir être établi. A cet égard, les lettres produites par la recourante ne constituent que des sortes de témoignages écrits (P. 6, 8). Si la recourante voulait que l’enquête puisse avancer, il lui appartenait de requérir l’audition des témoins qui auraient entendu directement les propos tenus par la prévenue. La crainte de représailles, dans une enquête pour diffamation, n’apparaît pas sérieuse. On relèvera de toute manière qu’en application de l’art. 315 CPP, l’instruction pourra être reprise si des éléments nouveaux apparaissent ultérieurement. Faute de soupçons justifiant une mise en accusation d’ A.________, c’est à bon droit que le Procureur a ordonné le classement de l’enquête pénale pour diffamation dirigée à l’encontre de la prévenue et suspendu la procédure pour une durée indéterminée.</w:t>
      </w:r>
    </w:p>
    <w:p>
      <w:r>
        <w:rPr>
          <w:b/>
        </w:rPr>
        <w:t>E. 3</w:t>
      </w:r>
    </w:p>
    <w:p>
      <w:r>
        <w:t>Sur le vu de ce qui précède, le recours, manifestement mal fondé, doit être rejeté et l’ordonnance du Ministère public  confirmée. Les frais de la procédure de recours, constitués en l’espèce du seul émolument d'arrêt (art. 422 al. 1 CPP), par 550 fr. (art. 20 al. 1 TFIP [Tarif des frais de procédure et indemnités en matière pénale du 28 septembre 2010; RSV 312.03.1]), seront mis à la charge de la recourante, qui succombe (art. 428 al. 1 CPP). Les frais de procédure seront compensés avec le montant de 550 fr. déjà versé par la recourante à titre de sûretés (art. 383 al. 1 CPP et 7 TFIP). Par ces motifs, la Chambre des recours pénale prononce : I. Le recours est rejeté. II. L’ordonnance du 13 août 2015 est confirmée. III. Les frais de la procédure de recours, par 550 fr. (cinq cent cinquante francs), sont mis à la charge de la recourante. IV. Les frais mis à la charge de la recourante au chiffre III ci-dessus sont compensés avec le montant de 550 fr. (cinq cent cinquante francs) déjà versé par celle-ci à titre de sûretés. V. Le présent arrêt est exécutoire. Le président :               La greffière : Du Le présent arrêt, dont la rédaction a été approuvée à huis clos, est notifié, par l'envoi d'une copie complète, à : - Mme V.________, - Mme A.________,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