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752 vom 14. Oktober 2015</w:t>
      </w:r>
    </w:p>
    <w:p>
      <w:r>
        <w:t>VD Tribunal cantonal, 2015-10-14, FR</w:t>
      </w:r>
    </w:p>
    <w:p>
      <w:r>
        <w:rPr>
          <w:b/>
        </w:rPr>
        <w:t xml:space="preserve">Quelle: </w:t>
      </w:r>
      <w:r>
        <w:t>https://mcp.opencaselaw.ch/entscheid/vd_findinfo_D_cision___2015___752</w:t>
      </w:r>
    </w:p>
    <w:p>
      <w:r>
        <w:t>FR: VD_FINDINFO Décision / 2015 / 752 du 14 octobre 2015</w:t>
      </w:r>
    </w:p>
    <w:p>
      <w:r>
        <w:t>IT: VD_FINDINFO Décision / 2015 / 752 del 14 ottobre 2015</w:t>
      </w:r>
    </w:p>
    <w:p>
      <w:pPr>
        <w:pStyle w:val="Heading2"/>
      </w:pPr>
      <w:r>
        <w:t>Regeste</w:t>
      </w:r>
    </w:p>
    <w:p>
      <w:r>
        <w:t>DÉTENTION PROVISOIRE, PROLONGATION, SOUPÇON, RISQUE DE RÉCIDIVE, PROPORTIONNALITÉ, MESURE DE SUBSTITUTION À LA DÉTENTION | 221 al. 1 let. c CPP (CH), 221 al. 2 CPP (CH), 237 CPP (CH), 393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 2; Schmocker, in: Kuhn/Jeanneret [éd.], Commentaire romand, Code de procédure pénale suisse, Bâle 2011, nn. 7 ss ad art. 221 CPP).</w:t>
      </w:r>
    </w:p>
    <w:p>
      <w:r>
        <w:rPr>
          <w:b/>
        </w:rPr>
        <w:t>E. 2.2</w:t>
      </w:r>
    </w:p>
    <w:p>
      <w:r>
        <w:t>En l’espèce, la recourante a admis les faits du 11 juillet 2015, mais soutient qu’elle n’aurait agi de la sorte que par crainte de son compagnon. Bien qu’il puisse exister d’éventuelles circonstances atténuantes liées au déroulement des faits, il n’en demeure pas moins que la prévenue a fait usage d’un couteau contre son compagnon, ce qui constitue un comportement dangereux pour autrui. Il existe ainsi des indices sérieux de culpabilité à l’encontre de la prévenue.</w:t>
      </w:r>
    </w:p>
    <w:p>
      <w:r>
        <w:rPr>
          <w:b/>
        </w:rPr>
        <w:t>E. 3.1</w:t>
      </w:r>
    </w:p>
    <w:p>
      <w:r>
        <w:t>La recourante conteste l’existence d’un risque de réitération et propose à titre subsidiaire que des mesures de substitution soient ordonnées − telles qu’une interdiction de contacter de quelque manière que ce soit S.________, une assignation à résidence contrôlée au moyen d’un bracelet de surveillance − si l’existence de ce risque devait néanmoins être constatée par l’autorité de recours.</w:t>
      </w:r>
    </w:p>
    <w:p>
      <w:r>
        <w:rPr>
          <w:b/>
        </w:rPr>
        <w:t>E. 3.2.1</w:t>
      </w:r>
    </w:p>
    <w:p>
      <w:r>
        <w:t>Le maintien en détention avant jugement ne peut se justifier en raison d’un risque de réitération que si le pronostic est très défavorable et si les délits dont l'autorité redoute la réitération sont graves (ATF 137 IV 84 c. 4.5, JT 2011 IV 325 ; ATF 135 I 71 c. 2.3 ; ATF 133 I 270 c. 2.2 et les arrêts cités, JT 2011 IV 3 ;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 TF 1B_39/2013 ibidem).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w:t>
      </w:r>
    </w:p>
    <w:p>
      <w:r>
        <w:rPr>
          <w:b/>
        </w:rPr>
        <w:t>E. 3.2.2</w:t>
      </w:r>
    </w:p>
    <w:p>
      <w:r>
        <w:t>L’art. 221 al. 2 CPP prévoit que la détention peut également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 ATF 137 IV 122 c. 5.2, JT 2012 IV 79 ; Schmocker, in : Kuhn/Jeanneret [éd.], op. cit., n. 22 ad art. 221 CPP et les références citées). En particulier en cas de menace de crime de violence, il y a lieu de prendre en compte l’état psychique de la personne soupçonnée, respectivement son imprévisibilité ou son agressivité (ATF 140 IV 19 c. 2.1.1 ;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3.3</w:t>
      </w:r>
    </w:p>
    <w:p>
      <w:r>
        <w:t>En l’espèce, la recourante a commis les actes qui lui sont reprochés sur une période de plusieurs mois et ceci malgré diverses interventions du procureur. En outre, même un placement de trois mois en division psychiatrique intervenu ensuite des faits de février 2015 n’est pas parvenu à la stabiliser. V.________ souffre d’un trouble schizo-affectif qui influence son comportement général dans les périodes de décompensation et, bien qu’elle soit soumise à un traitement médical, il ressort du dossier d’instruction que l’évolution de ce traitement a été considérée comme lentement favorable. La situation de la prévenue est donc inquiétante. Enfin, une expertise psychiatrique ayant été mise en œuvre le 11 août dernier, il est ainsi indispensable d’attendre les conclusions des experts qui permettront d'évaluer plus précisément le risque de récidive et la dangerosité de la recourante quand bien même cette dernière poursuit actuellement un traitement médical. Cette expertise permettra également de déterminer les éventuelles mesures nécessaires pour parer aux risques que présente la prévenue. Le pronostic étant défavorable, une libération n’est ainsi pas envisageable à ce stade.</w:t>
      </w:r>
    </w:p>
    <w:p>
      <w:r>
        <w:rPr>
          <w:b/>
        </w:rPr>
        <w:t>E. 4.1</w:t>
      </w:r>
    </w:p>
    <w:p>
      <w:r>
        <w:t>La recourante propose à titre subsidiaire que des mesures de substitution soient ordonnées si l’existence d’un risque de réitération devait être constatée par l’autorité de recours.</w:t>
      </w:r>
    </w:p>
    <w:p>
      <w:r>
        <w:rPr>
          <w:b/>
        </w:rPr>
        <w:t>E. 4.2</w:t>
      </w:r>
    </w:p>
    <w:p>
      <w:r>
        <w:t>En vertu de l'art. 237 al. 1 CPP, le tribunal compétent ordonne une ou plusieurs mesures moins sévères en lieu et place de la détention provisoire ou de la détention pour des motifs de sûreté si ces mesures permettent d'atteindre le même but que la détention. Les mesures de substitution énumérées de manière non exhaustive à l'art. 237 CPP sont un succédané à la détention provisoire, poursuivant le même objectif tout en étant moins sévères (Schmocker, op. cit., n. 2 ad art. 237 CPP). Le tribunal doit les prononcer à la place de la détention provisoire ou pour des motifs de sûreté si elles permettent d'empêcher la concrétisation du risque (ibid.). Ces mesures sont donc l'émanation directe du principe de la proportionnalité, consacré par l'art. 197 al. 1 let. c CPP, en vertu duquel le maintien en détention pour les besoins de l'instruction présente l'ultima ratio. La surveillance électronique ne constitue pas en soi une mesure de substitution mais uniquement un moyen de contrôler l'exécution d'une telle mesure : s'il apparaît d'emblée que cette mesure n'est pas apte à prévenir le risque retenu, la surveillance électronique ne saurait être mise en œuvre (TF 1B_447/2011 du 21 septembre 2011 c. 3.4).</w:t>
      </w:r>
    </w:p>
    <w:p>
      <w:r>
        <w:rPr>
          <w:b/>
        </w:rPr>
        <w:t>E. 4.3</w:t>
      </w:r>
    </w:p>
    <w:p>
      <w:r>
        <w:t>Au vu des considérants qui précèdent, les mesures de substitution proposées par la recourante sous la forme d’une interdiction de contacter de quelconque manière S.________ et subsidiairement d’une assignation à résidence au moyen d’un bracelet de surveillance – ne comportant pas d’émetteur GPS – ne sauraient permettre de restreindre le danger et l’inconnue liés au fonctionnement psychique de la recourante. Le maintien de V.________ en détention provisoire est ainsi justifié.</w:t>
      </w:r>
    </w:p>
    <w:p>
      <w:r>
        <w:rPr>
          <w:b/>
        </w:rPr>
        <w:t>E. 5.1</w:t>
      </w:r>
    </w:p>
    <w:p>
      <w:r>
        <w:t>Concernant le respect du principe de proportionnalité (art. 212 al. 3 CPP),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 ATF 133 I 168 c. 4.1 ; ATF 132 I 21 c. 4.1). Toutefois, le fait que la peine encourue puisse être assortie du sursis, total ou partiel, n'est pas déterminant sous l'angle de la proportionnalité (ATF 133 I 270 c. 3.4.2).</w:t>
      </w:r>
    </w:p>
    <w:p>
      <w:r>
        <w:rPr>
          <w:b/>
        </w:rPr>
        <w:t>E. 5.2</w:t>
      </w:r>
    </w:p>
    <w:p>
      <w:r>
        <w:t>En l’espèce, V.________ est détenue depuis le 11 juillet 2015, soit depuis un peu plus de trois mois. Compte tenu des actes qui lui sont reprochés et des opérations d’instruction en cours, la prolongation de sa détention pour une durée de trois mois est raisonnable. Par conséquent, le principe de la proportionnalité de la détention provisoire demeure respecté.</w:t>
      </w:r>
    </w:p>
    <w:p>
      <w:r>
        <w:rPr>
          <w:b/>
        </w:rPr>
        <w:t>E. 6</w:t>
      </w:r>
    </w:p>
    <w:p>
      <w:r>
        <w:t>En définitive, le recours, manifestement mal fondé, doit être rejeté sans autre échange d’écritures (art. 390 al. 2 CPP) et l'ordonnance du 29 septembre 2015 confirmée. Les frais de la procédure de recours, constitués en l’espèce de l’émolument d'arrêt (art. 422 al. 1 CPP), par 880 fr. (art. 20 al. 1 TFIP [tarif des frais de procédure et indemnités en matière pénale du 28 septembre 2010 ; RSV 312.03.1]), et des frais imputables à la défense d’office (art. 422 al. 1 et 2 let. a CPP), fixés à 540 fr., plus la TVA par 43 fr. 20, soit 583 fr. 20 au total, seront mis à la charge de la recourante, qui succombe (art. 428 al. 1 CPP). Le remboursement à l’Etat de l’indemnité allouée au défenseur d’office de V.________ ne sera toutefois exigible que pour autant que la situation économique de ce dernier se soit améliorée (art. 135 al. 4 CPP). Par ces motifs, la Chambre des recours pénale prononce : I. Le recours est rejeté. II. L’ordonnance du 29 septembre 2015 est confirmée. III. L'indemnité allouée au défenseur d'office de V.________ est fixée à 583 fr. 20 (cinq cent huitante-trois francs et vingt centimes). IV. Les frais du présent arrêt, par 880 fr. (huit cent huitante francs), ainsi que l’indemnité due au défenseur d’office de V.________, par 583 fr. 20 (cinq cent huitante-trois francs et vingt centimes), sont mis à la charge de cette dernière. V. Le remboursement à l'Etat de l'indemnité allouée au chiffre III ci-dessus sera exigible pour autant que la situation économique de V.________ se soit améliorée. VI. Le présent arrêt est exécutoire. Le juge président : La greffière : Du Le présent arrêt, dont la rédaction a été approuvée à huis clos, est notifié, par l'envoi d'une copie complète, à : - Mme Miriam Mazou, avocate (pour V.________), - Ministère public central ;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