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751 vom 14. Oktober 2015</w:t>
      </w:r>
    </w:p>
    <w:p>
      <w:r>
        <w:t>VD Tribunal cantonal, 2015-10-14, FR</w:t>
      </w:r>
    </w:p>
    <w:p>
      <w:r>
        <w:rPr>
          <w:b/>
        </w:rPr>
        <w:t xml:space="preserve">Quelle: </w:t>
      </w:r>
      <w:r>
        <w:t>https://mcp.opencaselaw.ch/entscheid/vd_findinfo_D_cision___2015___751</w:t>
      </w:r>
    </w:p>
    <w:p>
      <w:r>
        <w:t>FR: VD_FINDINFO Décision / 2015 / 751 du 14 octobre 2015</w:t>
      </w:r>
    </w:p>
    <w:p>
      <w:r>
        <w:t>IT: VD_FINDINFO Décision / 2015 / 751 del 14 ottobre 2015</w:t>
      </w:r>
    </w:p>
    <w:p>
      <w:pPr>
        <w:pStyle w:val="Heading2"/>
      </w:pPr>
      <w:r>
        <w:t>Regeste</w:t>
      </w:r>
    </w:p>
    <w:p>
      <w:r>
        <w:t>RISQUE DE FUITE, DÉTENTION PROVISOIRE | 221 al. 1 let. a CPP (CH)</w:t>
      </w:r>
    </w:p>
    <w:p>
      <w:pPr>
        <w:pStyle w:val="Heading2"/>
      </w:pPr>
      <w:r>
        <w:t>Erwägungen</w:t>
      </w:r>
    </w:p>
    <w:p>
      <w:r>
        <w:rPr>
          <w:b/>
        </w:rPr>
        <w:t>E. 1</w:t>
      </w:r>
    </w:p>
    <w:p>
      <w:r>
        <w:t>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et bien qu’il conteste entretenir des liens étroits avec le milieu de la drogue, le recourant a admis séjourner sans autorisation en Suisse, avoir vendu de la cocaïne à un agent de police en civil, avoir joué l’intermédiaire en procurant du cannabis à quatre amis et enfin avoir mis son logement à disposition de personnes ne disposant pas de titre de séjour. Outre les infractions qu’il a admis avoir commises, le recourant est mis en cause pour des ventes de haschisch (PV aud. 16 et 17). Quant à son appartement, occupé par des étrangers sans statut légal en Suisse, qui – au vu de la cocaïne et de l’argent retrouvés – semblent se livrer à un trafic de cocaïne, il est douteux que le recourant n’ai pour le moins pas été au courant et n’ait même pas eu la clé de son propre logement. Quoiqu’il en soit, le recourant a admis qu’il obtenait de l’argent pour cette location. Compte tenu des éléments qui précèdent, à ce stade de l’enquête, il existe des soupçons suffisants à l’encontre du recourant au sens de l’art. 221 al. 1 CPP.</w:t>
      </w:r>
    </w:p>
    <w:p>
      <w:r>
        <w:rPr>
          <w:b/>
        </w:rPr>
        <w:t>E. 3</w:t>
      </w:r>
    </w:p>
    <w:p>
      <w:r>
        <w:t>Le recourant conteste les risques de fuite, de collusion et de récidive (art. 221 al. 1 let. a, b et c CPP) retenus par les premiers juges.</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 TF 1B_145/2012 du 19 avril 2012 c. 3.1 et les références citées). Selon la jurisprudence,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On peut aussi retenir un risque de récidive lorsqu'il s'agit, conformément au principe de la célérité, d'éviter que la procédure ne soit sans cesse compliquée ou prolongée par la commission de nouveaux délits (TF 1B_201/2014 du 19 juin 2014, c. 3. 1 et les références citées).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w:t>
      </w:r>
    </w:p>
    <w:p>
      <w:r>
        <w:rPr>
          <w:b/>
        </w:rPr>
        <w:t>E. 3.2</w:t>
      </w:r>
    </w:p>
    <w:p>
      <w:r>
        <w:t>En l’espèce, le recourant fait valoir des arguments déjà évoqués lors de son opposition à sa mise en détention provisoire en juillet 2015. Sa situation n’a cependant pas évolué depuis lors. S’il est certes en Suisse depuis treize ans, il n’a toutefois aucune autorisation de séjour et ne dispose que d’un cabanon pour logement, puisqu’il a sous-loué son appartement. Sans emploi et sans statut, ni même de lien concret avec des proches, il est à craindre que le recourant se soustraie aux poursuites pénales ou disparaisse dans la clandestinité, et reprenne son trafic. Entendu le 17 juillet 2015, il a d’ailleurs indiqué aux policiers qu’il s’était renseigné auprès du Service de la population en vue de quitter la Suisse, ajoutant que s’il ne trouvait pas de travail, il préférait partir car il ne supportait plus de devoir se cacher (PV aud. du 17 juillet 2015, R. 3). Enfin, compte tenu de son statut en Suisse, sa remise en liberté aurait pour conséquence une récidive en matière d’infraction à la LEtr. Les premiers juges ont dès lors retenu à raison les risques de fuite et de récidive. Les risques fondant la détention provisoire étant des motifs alternatifs, la question de l’existence d’un éventuel risque de collusion peut demeurer indécise, dès lors que la détention est justifiée par les risques de fuite et de réitération.</w:t>
      </w:r>
    </w:p>
    <w:p>
      <w:r>
        <w:rPr>
          <w:b/>
        </w:rPr>
        <w:t>E. 4</w:t>
      </w:r>
    </w:p>
    <w:p>
      <w:r>
        <w:t>Le recourant considère qu’au vu des charges qui pèsent contre lui, la durée de la prolongation de la détention provisoire serait disproportionnée.</w:t>
      </w:r>
    </w:p>
    <w:p>
      <w:r>
        <w:rPr>
          <w:b/>
        </w:rPr>
        <w:t>E. 4.1</w:t>
      </w:r>
    </w:p>
    <w:p>
      <w:r>
        <w:t>et les arrêts cités). À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4.2</w:t>
      </w:r>
    </w:p>
    <w:p>
      <w:r>
        <w:t>En l’espèce, la détention provisoire a été prolongée de trois mois, soit jusqu’au 9 janvier 2016. L’enquête arrivera très prochainement à son terme, seul le rapport final étant encore attendu, après avoir réentendu le recourant. Or, ce dernier, qui n’est détenu provisoirement que depuis trois mois, encourt vraisemblablement une peine supérieure à la durée de la détention provisoire au vu des éléments établis à sa charge. Compte tenu de ce qui précède, la durée de la détention provisoire respecte le principe de la proportionnalité.</w:t>
      </w:r>
    </w:p>
    <w:p>
      <w:r>
        <w:rPr>
          <w:b/>
        </w:rPr>
        <w:t>E. 5</w:t>
      </w:r>
    </w:p>
    <w:p>
      <w:r>
        <w:t>À titre subsidiaire, le recourant a conclu à sa libération immédiate et à la mise en œuvre de mesures de substitution à son encontre, sous la forme d’une saisie de ses documents d'identité et par l'obligation de se présenter régulièrement à un service administratif.</w:t>
      </w:r>
    </w:p>
    <w:p>
      <w:r>
        <w:rPr>
          <w:b/>
        </w:rPr>
        <w:t>E. 5.1</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op. cit., n. 2 ad art. 237 CPP). Font notamment partie des mesures de substitution au sens de cette disposition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5.2</w:t>
      </w:r>
    </w:p>
    <w:p>
      <w:r>
        <w:t>En l’occurrence, le recourant ne dispose d’aucune ressource financière, ni d’autorisation de séjour en Suisse. Aucune mesure de substitution proposée par l’intéressé n’est dès lors envisageable pour pallier les différents risques retenus.</w:t>
      </w:r>
    </w:p>
    <w:p>
      <w:r>
        <w:rPr>
          <w:b/>
        </w:rPr>
        <w:t>E. 6</w:t>
      </w:r>
    </w:p>
    <w:p>
      <w:r>
        <w:t>En définitive, le recours doit être rejeté sans autre échange d’écritures (art. 390 al. 2 CPP) et l'ordonnance du 2 octobre 2015 confirmée. L’indemnité due au défenseur d’office du recourant sera fixée à 540 fr., plus la TVA, par 43 fr. 20, ce qui porte le montant alloué à 583 fr. 20.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par 453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octobre 2015 est confirmée. III. L’indemnité due au défenseur d’office de S.________ est fixée à 583 fr. 20 (cinq cent huitante-trois francs et vingt centimes). IV. L'émolument d’arrêt, par 990 fr. (neuf cent nonante francs), ainsi que l’indemnité due au défenseur d’office de S.________ par 583 fr. 20 (cinq cent huitante-trois francs et vingt centimes), sont mis à la charge de ce dernier. V. Le remboursement à l’Etat de l’indemnité allouée au chiffre III ci-dessus sera exigible pour autant que la situation économique de S.________ se soit améliorée. VI. Le présent arrêt est exécutoire. Le juge présidant : La greffière : Du Le présent arrêt, dont la rédaction a été approuvée à huis clos, est notifié, par l'envoi d'une copie complète, à : - Mme Marie-Laure Oppliger-Mattenberger, avocate (pour S.________),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