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750 vom 9. Oktober 2015</w:t>
      </w:r>
    </w:p>
    <w:p>
      <w:r>
        <w:t>VD Tribunal cantonal, 2015-10-09, FR</w:t>
      </w:r>
    </w:p>
    <w:p>
      <w:r>
        <w:rPr>
          <w:b/>
        </w:rPr>
        <w:t xml:space="preserve">Quelle: </w:t>
      </w:r>
      <w:r>
        <w:t>https://mcp.opencaselaw.ch/entscheid/vd_findinfo_D_cision___2015___750</w:t>
      </w:r>
    </w:p>
    <w:p>
      <w:r>
        <w:t>FR: VD_FINDINFO Décision / 2015 / 750 du 9 octobre 2015</w:t>
      </w:r>
    </w:p>
    <w:p>
      <w:r>
        <w:t>IT: VD_FINDINFO Décision / 2015 / 750 del 9 ottobre 2015</w:t>
      </w:r>
    </w:p>
    <w:p>
      <w:pPr>
        <w:pStyle w:val="Heading2"/>
      </w:pPr>
      <w:r>
        <w:t>Regeste</w:t>
      </w:r>
    </w:p>
    <w:p>
      <w:r>
        <w:t>CLASSEMENT DE LA PROCÉDURE, FRAIS JUDICIAIRES, INDEMNITÉ{EN GÉNÉRAL}, ACTE ILLICITE, FAUTE | 426 al. 2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une partie astreinte aux frais, qui a la qualité pour recourir (art. 382 al. 1 CPP), et satisfaisant aux conditions de forme posées par la loi (art. 385 al. 1 CPP), le recours est recevable.</w:t>
      </w:r>
    </w:p>
    <w:p>
      <w:r>
        <w:rPr>
          <w:b/>
        </w:rPr>
        <w:t>E. 1.2</w:t>
      </w:r>
    </w:p>
    <w:p>
      <w:r>
        <w:t>Le recours de M.________ ne portant pas sur le classement de la procédure, mais uniquement sur le refus d’une indemnité pour ses frais de défense au sens de l’art. 429 CPP et la mise à sa charge des frais de justice, par 1'575 fr., ce qui constitue une conséquence économique accessoire de la décision (cf. Stephenson/Thiriet, in : Niggli/Heer/ Wiprächtiger [éd.], Basler Kommentar, Schweizerische Strafprozessordnung, Jugendstrafprozessordnung, 2 e éd., Bâle 2014, n. 5 ad art. 395 CPP ; Juge unique CREP 23 octobre 2013/643), l’art. 395 al. 1 let. b CPP entre en considération. La recourante n'a pas chiffré, dans son recours, sa prétention en indemnité du chef de l'art. 429 CPP, mais le montant réclamé, qu'elle estime à 1'987 fr. 20, TVA et débours compris, ressort de la liste d'opérations produite par son défenseur le 20 février 2015 auprès du Ministère public (P. 12/2). Vu la valeur litigieuse en cause, d'un total de 3'562 fr. 20 (1'575 fr. + 1'987 fr. 20), n’excédant en l’occurrence pas le montant de 5'000 fr., le recours relève de la compétence d’un juge unique de la Chambre des recours pénale (cf. art. 395 al. 1 let. b CPP et art. 13 al. 2 LVCPP; cf. entre autres Juge unique CREP 30 juillet 2015/509 c. 1.2).</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Une mise à la charge des frais selon l’art. 426 al. 1 et 2 CPP exclut en principe le droit à une indemnité au sens de l’art. 429 al. 1 let a CPP. Cette question doit être tranchée après la question des frais. Dans cette mesure, la décision sur les frais préjuge de la décision sur l’indemnité. Il en résulte qu’en cas de condamnation aux frais, il n’y a pas lieu d’octroyer d’indemnité ou de réparer le tort moral alors que, lorsque les frais sont supportés par la caisse de l’Etat, le prévenu dispose d’un droit à une indemnité (ATF 137 IV 352 c. 2.4.2 p. 357). L'indemnité selon l'art. 429 al. 1 let. a CPP concerne les dépenses du prévenu pour un avocat de choix (ATF 139 IV 241 c. 1; ATF 138 IV 205 c. 1 p. 206).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op. cit., n. 15 ad art. 429 CPP; Mizel/Rétornaz, in : Kuhn/Jeanneret [éd.], Commentaire romand, Code de procédure pénale suisse, Bâle 2011, n. 31 ad art. 429 CPP; CREP 28 juillet 2015/503 c. 2.1; Juge unique CREP 15 septembre 2015/607 c. 2.1 ; Juge unique CREP 28 mars 2014/239; CAPE 14 mars 2012/88 c. 2.2; ATF 115 IV 156 c. 2d).</w:t>
      </w:r>
    </w:p>
    <w:p>
      <w:r>
        <w:rPr>
          <w:b/>
        </w:rPr>
        <w:t>E. 2.3</w:t>
      </w:r>
    </w:p>
    <w:p>
      <w:r>
        <w:t>En l'espèce, le Procureur a considéré qu’il convenait de mettre les frais de la procédure à la charge de la prévenue et de rejeter sa demande d’indemnité fondée sur l’art. 429 CPP, dès lors qu'elle avait provoqué l'ouverture de l'instruction par son comportement illicite consistant à changer les serrures de l'appartement sous-loué au plaignant. Il a en outre indiqué que la cause ne présentait aucune difficulté particulière, ni en fait ni en droit, de sorte que l’intervention d’un avocat n’était pas nécessaire. L’appréciation du Procureur ne saurait être suivie. S’agissant des frais, il n’apparaît pas que M.________ ait, de manière illicite et fautive, provoqué l'ouverture de la procédure au sens de l’art. 426 al. 2 CPP. La prévenue a certes admis avoir changé les serrures de l'appartement qu'elle partageait avec le plaignant, mais elle a précisé l'avoir fait car elle s'était sentie menacée par les propos de ce dernier qui lui aurait dit, le matin même, que s'il la voyait avec F.________, il lui "mettrait une balle entre les deux yeux car chez lui ça ne coûte qu'un dollar" (PV aud. 5, lignes 61 et 62). L'intéressée a dit que ces menaces s'expliquaient par le fait qu'un litige avait éclaté entre son petit ami, F.________, et le plaignant et que ce dernier avait pensé qu'elle était au courant de leur affaire, ce qui n'était en réalité pas le cas (PV aud. 5, ligne 60; P. 6, p. 5). Compte tenu des déclarations du plaignant, qui a admis avoir eu un différend avec F.________ en raison d'une transaction financière qui se serait mal terminée (PV aud. 3, R. 5), et au vu de la décision de la recourante de quitter l'appartement immédiatement après l'intervention de la police, le jour même des faits (P. 4, p. 4), les explications de la prévenue quant au fait qu'elle se serait sentie menacée peuvent être tenues pour crédibles, ce que le Procureur reconnaît d'ailleurs lui-même en admettant que la prévenue "a semblé sincère" (ordonnance attaquée, p. 2, par. 4). Celle-ci paraît ainsi avoir agi de bonne foi en changeant les serrures de l'appartement. On ne saurait donc voir dans cette attitude une quelconque faute ou un comportement illicite de nature à justifier l’application de l’art. 426 al. 2 CPP et la mise à sa charge des frais de procédure nonobstant le classement. En ce qui concerne l’indemnité réclamée par M.________ pour l’intervention de son défenseur au sens de l’art. 429 al. 1 let. a CPP, contrairement à ce qu'a retenu le Procureur, les frais de défense dans une procédure simple doivent, comme relevé plus haut (c. 2.2), également être indemnisés, pour autant qu’ils procèdent d’un exercice raisonnable des droits de procédure, condition manifestement remplie en l’espèce, l’intervention du conseil de la recourante ayant été utile et raisonnable. On ne saurait donc dénier à la recourante le droit à une indemnisation, aucun comportement fautif ne pouvant par ailleurs lui être reproché au sens de l’art. 430 al. 1 let. a CPP, comme on vient de le voir. Cette solution est d'autant plus justifiée que les frais doivent, en définitive, être laissés à la charge de l'Etat, ce qui implique en principe l'allocation d'une indemnité (ATF 137 IV 352 précité c. 2.4.2; c. 2.2 supra ). Quant à la quotité de cette dernière, elle peut être fixée à concurrence du montant réclamé par la recourante, soit 1'987 fr. 20, qui paraît admissible au regard de la nature de la cause et des opérations accomplies par le conseil de la recourante.</w:t>
      </w:r>
    </w:p>
    <w:p>
      <w:r>
        <w:rPr>
          <w:b/>
        </w:rPr>
        <w:t>E. 3</w:t>
      </w:r>
    </w:p>
    <w:p>
      <w:r>
        <w:t>Il résulte de ce qui précède que le recours doit être admis et l'ordonnance du 18 août 2015 réformée en ce sens que les frais de la procédure, par 1'575 fr., sont laissés à la charge de l’Etat et qu'une indemnité au sens de l'art. 429 al. 1 let. a CPP d'un montant de 1'987 fr. 20 est allouée à la recourante pour les dépenses occasionnées par l’exercice raisonnable de ses droits de procédure. L'ordonnance sera maintenue pour le surplus. Les frais de la procédure de recours, constitués en l’espèce de l’émolument d’arrêt (art. 422 al. 1 CPP), par 990 fr. (art. 20 al. 1 TFIP [tarif des frais de procédure et indemnités en matière pénale du 28 septembre 2010 ; RSV 312.03.1]), seront laissés à la charge de l’Etat (cf. art. 423 al. 1 CPP). Enfin, M.________, qui a obtenu gain de cause et qui a procédé avec l'assistance d'un conseil professionnel, a droit à une juste indemnité pour les dépenses occasionnées par la procédure de recours, fixée à 540 fr., plus la TVA par 43 fr. 20, soit un total de 583 fr. 20, à la charge de l’Etat (art. 429 al. 1 let. a CPP, applicable par renvoi de l’art. 436 al. 1 CPP). Par ces motifs, le juge unique prononce : I. Le recours est admis. II. L'ordonnance du 18 août 2015 est réformée comme il suit aux chiffres II et III de son dispositif : II. Alloue une indemnité au sens de l'art. 429 CPP de 1'987 fr. 20 (mille neuf cent huitante-sept francs et vingt centimes) à M.________, à la charge de l'Etat. III. Laisse les frais de procédure, par 1'575 fr (mille cinq cent septante-cinq francs), à la charge de l'Etat. III. L'ordonnance du 18 août 2015 est maintenue pour le surplus. IV. Une indemnité de 583 fr. 20 (cinq cent huitante-trois francs et vingt centimes), TVA comprise, est allouée à M.________ pour la présente procédure de recours, à la charge de l’Etat. V. Les frais d'arrêt, par 990 fr. (neuf cent nonante francs), sont laissés à la charge de l'Etat. VI. Le présent arrêt est exécutoire. Le juge unique :               Le greffier : Du Le présent arrêt, dont la rédaction a été approuvée à huis clos, est notifié, par l'envoi d'une copie complète, à : - M. Jean-Daniel Kramer, avocat (pour M.________), - M. F.________, sans domicile connu, - M. [...], - Ministère public central, et communiqué à : ‑ M. le Procureur de l'arrondissement de Lausanne, - Justice de paix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