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749 vom 2. Oktober 2015</w:t>
      </w:r>
    </w:p>
    <w:p>
      <w:r>
        <w:t>VD Tribunal cantonal, 2015-10-02, FR</w:t>
      </w:r>
    </w:p>
    <w:p>
      <w:r>
        <w:rPr>
          <w:b/>
        </w:rPr>
        <w:t xml:space="preserve">Quelle: </w:t>
      </w:r>
      <w:r>
        <w:t>https://mcp.opencaselaw.ch/entscheid/vd_findinfo_D_cision___2015___749</w:t>
      </w:r>
    </w:p>
    <w:p>
      <w:r>
        <w:t>FR: VD_FINDINFO Décision / 2015 / 749 du 2 octobre 2015</w:t>
      </w:r>
    </w:p>
    <w:p>
      <w:r>
        <w:t>IT: VD_FINDINFO Décision / 2015 / 749 del 2 ottobre 2015</w:t>
      </w:r>
    </w:p>
    <w:p>
      <w:pPr>
        <w:pStyle w:val="Heading2"/>
      </w:pPr>
      <w:r>
        <w:t>Regeste</w:t>
      </w:r>
    </w:p>
    <w:p>
      <w:r>
        <w:t>DÉCISION D'IRRECEVABILITÉ, FAUX INTELLECTUEL DANS LES TITRES, ARCHITECTE, CHARGE{OBLIGATION}, VÉRIFICATION DE LA CHOSE, MANDAT, DÉCOMPTE{SENS GÉNÉRAL} | 310 CPP (CH), 393 al. 1 let. a CPP (CH)</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 cf. art. 20 al. 1 let. b CPP), qui dans le canton de Vaud est la Chambre des recours pénale du Tribunal cantonal (art. 13 LVCPP [loi d’introduction du code de procédure pénale suisse ; RSV 312.01]; art. 80 LOJV [loi d’organisation judiciaire ; RSV 173.01]). Interjeté dans le délai légal (art. 322 al. 2 CPP, par renvoi de l'art. 310 al. 2 et art. 396 al. 1 CPP) contre une ordonnance de non-entrée en matière (art. 393 al. 1 let. a CPP), par des parties plaignantes qui ont qualité pour recourir (art. 382 al. 1 CPP) et dans les formes prescrites (art. 385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 3.1 ;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w:t>
      </w:r>
    </w:p>
    <w:p>
      <w:r>
        <w:rPr>
          <w:b/>
        </w:rPr>
        <w:t>E. 3.1</w:t>
      </w:r>
    </w:p>
    <w:p>
      <w:r>
        <w:t>Aux termes de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 2a).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(TF 6B_1001/2009 du 23 avril 2010 c. 2.2.1 et les références citées ; CAPE 28 mai 2015/190).</w:t>
      </w:r>
    </w:p>
    <w:p>
      <w:r>
        <w:rPr>
          <w:b/>
        </w:rPr>
        <w:t>E. 3.2</w:t>
      </w:r>
    </w:p>
    <w:p>
      <w:r>
        <w:t>La notion de titre est définie par l'art. 110 al. 4 CP, qui prévoit que sont notamment réputés titres tous écrits destinés et propres à prouver un fait ayant une portée juridique (Corboz, Les infractions en droit suisse, vol. II, 3e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 2a). Le fait que le titre doit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 20 et 27 ad art. 251 CP).</w:t>
      </w:r>
    </w:p>
    <w:p>
      <w:r>
        <w:rPr>
          <w:b/>
        </w:rPr>
        <w:t>E. 3.3</w:t>
      </w:r>
    </w:p>
    <w:p>
      <w:r>
        <w:t>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(Code des obligations ; RS 220)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 2a; ATF 125 IV 273 c. 3a). Une facture mensongère, munie d'une quittance, n'est pas dotée, de par la loi, d'une garantie objective suffisante pour nécessairement constituer un faux intellectuel dans les titres. Il faut encore examiner si un tel document ne possède pas, selon les circonstances, une valeur de preuve accrue, notamment en raison de la personne qui l'a établi (ATF 121 IV 131 c. 2c ; TF 6B_589/2009 du14 septembre 2009 c. 2.1.1; TF 6S.37/2007 du 19 avril 2007 c. 8.2.2). Celle-ci doit être dans une position analogue à celle d'un garant (ATF 120 IV 25 c. 3f). Selon le Tribunal fédéral, lorsque le maître de l'ouvrage donne à l'architecte qui dirige les travaux le mandat d'approuver les factures des entreprises au sens des normes SIA, celui-ci se trouve, en raison de ses connaissances techniques et du mandat donné, en situation de garant du patrimoine du maître de l’ouvrage ; ainsi, la déclaration mensongère de l’architecte selon laquelle le décompte final des travaux qu’il lui appartient d’approuver est exact ne constitue pas qu’un simple mensonge écrit, mais bien un faux intellectuel au sens de l’art. 251 CP (ATF 119 IV 54, JT 1995 IV 69).</w:t>
      </w:r>
    </w:p>
    <w:p>
      <w:r>
        <w:rPr>
          <w:b/>
        </w:rPr>
        <w:t>E. 3.4</w:t>
      </w:r>
    </w:p>
    <w:p>
      <w:r>
        <w:t>En l’espèce, les deux séries de documents adressées le 23 octobre 2014 par C.________ aux plaignants, qui concernent la facture finale de la société [...] SA, sont très sensiblement divergentes et comportent en tous les cas des incohérences, des imprécisions et des lacunes, en particulier s’agissant de la description des prestations facturées. Si ces documents devaient contenir des éléments mensongers, ils pourraient – suivant le contenu des obligations qui incom-baient à l’architecte en vertu du mandat qui lui était donné, en particulier s’agissant de la vérification des factures – constituer un faux intellectuel au vu de la jurispru-dence précitée (cf. c. 3.3 in fine supra). Force est d’admettre que le refus de l’architecte, interpellé par les plaignants, de donner la moindre explication sur les différences apparaissant sur les documents incriminés ne contribue pas, bien que cet élément ne soit pas déterminant en soi, à lever les soupçons que ses agissements suscitent. Dans ces conditions, la réalisation d’une infraction pénale, en particulier celle de faux dans les titres au sens de l’art. 251 CP, ne pouvant être d’emblée exclue, il est nécessaire que le procureur ouvre une instruction conformément à l'art. 309 CPP.</w:t>
      </w:r>
    </w:p>
    <w:p>
      <w:r>
        <w:rPr>
          <w:b/>
        </w:rPr>
        <w:t>E. 4</w:t>
      </w:r>
    </w:p>
    <w:p>
      <w:r>
        <w:t>CPP). S’agissant des dépens réclamés par les recourants, il appartiendra, le cas échéant, à ces derniers d’adresser à la fin de la procédure leurs prétentions à l’autorité pénale compétente selon l’art. 433 al. 2 CPP (CREP 16 avril 2013/279 c. 4 et les références citées). Par ces motifs, la Chambre des recours pénale prononce : I. Le recours est admis. II. L’ordonnance du 6 août 2015 est annulée. III. Le dossier de la cause est renvoyé au Ministère public de l'arron-dissement du Nord vaudois pour qu’il procède dans le sens des considérants. IV. Les frais du présent arrêt, par 880 fr. (huit cent huitante francs), sont laissés à la charge de l’Etat. V. Le présent arrêt est exécutoire. Le président :               La greffière : Du Le présent arrêt, dont la rédaction a été approuvée à huis clos, est notifié, par l'envoi d'une copie complète, à : - M. Christian Favre, avocat (pour T.________ et W.________),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