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748 vom 13. Oktober 2015</w:t>
      </w:r>
    </w:p>
    <w:p>
      <w:r>
        <w:t>VD Tribunal cantonal, 2015-10-13, FR</w:t>
      </w:r>
    </w:p>
    <w:p>
      <w:r>
        <w:rPr>
          <w:b/>
        </w:rPr>
        <w:t xml:space="preserve">Quelle: </w:t>
      </w:r>
      <w:r>
        <w:t>https://mcp.opencaselaw.ch/entscheid/vd_findinfo_D_cision___2015___748</w:t>
      </w:r>
    </w:p>
    <w:p>
      <w:r>
        <w:t>FR: VD_FINDINFO Décision / 2015 / 748 du 13 octobre 2015</w:t>
      </w:r>
    </w:p>
    <w:p>
      <w:r>
        <w:t>IT: VD_FINDINFO Décision / 2015 / 748 del 13 ottobre 2015</w:t>
      </w:r>
    </w:p>
    <w:p>
      <w:pPr>
        <w:pStyle w:val="Heading2"/>
      </w:pPr>
      <w:r>
        <w:t>Regeste</w:t>
      </w:r>
    </w:p>
    <w:p>
      <w:r>
        <w:t>DÉCISION D'IRRECEVABILITÉ |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J.________ a indiqué dans son courrier du 22 avril 2015 vouloir « revenir sur l’affaire citée en référence », soit sur sa plainte du 18 mars 2015. Il a notamment écrit ce qui suit : « C’est S.________ qui est le courtier en question, c’est lui qui a reçu et encaissé la commission liée à l’acquisition de la proposition d’assurance conclue par la société [...] Sàrl. C’est visiblement lui qui a indiqué, ou fait indiquer, ma personne comme conducteur régulier ». On peut comprendre que par ce courrier, J.________ indique qu’il considère que S.________ a agi de manière pénalement répréhensible et qu’il entend contester l’ordonnance de non-entrée en matière rendue le 30 mars 2015 par le Ministère public de l’arrondissement de Lausanne. Interjeté dans le délai légal auprès de l’autorité compétente par le plaignant qui 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w:t>
      </w:r>
    </w:p>
    <w:p>
      <w:r>
        <w:rPr>
          <w:b/>
        </w:rPr>
        <w:t>E. 3</w:t>
      </w:r>
    </w:p>
    <w:p>
      <w:r>
        <w:t>Le recourant considère que le comportement adopté par S.________ serait diffamatoire et qu’il constituerait une contrainte.</w:t>
      </w:r>
    </w:p>
    <w:p>
      <w:r>
        <w:rPr>
          <w:b/>
        </w:rPr>
        <w:t>E. 3.1</w:t>
      </w:r>
    </w:p>
    <w:p>
      <w:r>
        <w:t>Aux termes de l’art. 173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(ch. 1 CP). L'inculpé n'encourra aucune peine s'il prouve que les allégations qu'il a articulées ou propagées sont conformes à la vérité ou qu'il avait des raisons sérieuses de les tenir de bonne foi pour vraies (ch. 2).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 ATF 137 IV 313 c. 2.1.1; ATF 132 IV 112 c. 2.1; ATF 128 IV 53 c. 1a p. 57 s.). La diffamation suppose une allégation de fait et non un simple jugement de valeur (ATF 117 IV 27 c.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 ATF 128 IV 53 c.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 2.1.3).</w:t>
      </w:r>
    </w:p>
    <w:p>
      <w:r>
        <w:rPr>
          <w:b/>
        </w:rPr>
        <w:t>E. 3.2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n'est contraire au droit que si elle est illicite (TF 6S.853/2000 du 9 mai 2001 c. 4a; ATF 120 IV 17 c. 2a).</w:t>
      </w:r>
    </w:p>
    <w:p>
      <w:r>
        <w:rPr>
          <w:b/>
        </w:rPr>
        <w:t>E. 3.3</w:t>
      </w:r>
    </w:p>
    <w:p>
      <w:r>
        <w:t>En l’espèce, la Procureure a relevé que la poursuite introduite à l’encontre du recourant l’avait été à la suite d’une erreur commise par un courtier de la compagnie d’assurance C.________ AG. Elle a dès lors considéré qu’on ne pouvait retenir que S.________ aurait adopté un comportement pénalement répréhensible en lien avec cette poursuite. Le recourant ne faisant état d’aucun élément concret permettant de fonder des soupçons suffisants à l’endroit de S.________, la Procureure a conclu que les conditions à l’ouverture d’une action pénale n’étaient pas réunies. Cette analyse ne prête pas le flanc à la critique et doit être confirmée. Les pièces produites en recours démontrent tout au plus que les parties étaient en litige, sans que l’on puisse retenir un quelconque comportement pénalement répréhensible de la part de S.________.</w:t>
      </w:r>
    </w:p>
    <w:p>
      <w:r>
        <w:rPr>
          <w:b/>
        </w:rPr>
        <w:t>E. 4</w:t>
      </w:r>
    </w:p>
    <w:p>
      <w:r>
        <w:t>En définitive, le recours doit être rejeté sans autres échanges d’écritures (art. 390 al. 2 CPP) et l'ordonnance attaquée confirmée. Exceptionnellement, compte tenu du long délai de transmission du recours à l’autorité de céans, les frais de la procédure de recours, constitués du seul émolument d’arrêt, par 660 fr. (art. 20 al. 1 TFIP [Tarif des frais de procédure et indemnités en matière pénale du 28 septembre 2010 ; RSV 312.03.1]), seront laissés à la charge de l’Etat (art. 423 al. 1 CPP ; cf. art. 428 al. 1 CPP). Par ces motifs, la Chambre des recours pénale prononce : I. Le recours est rejeté. II. L’ordonnance du 30 mars 2015 est confirmée. III. Les frais d’arrêt, par 660 fr. (six cent soixante francs), sont laissés à la charge de l’Etat. IV. Le présent arrêt est exécutoire. Le président :               La greffière : Du Le présent arrêt, dont la rédaction a été approuvée à huis clos, est notifié, par l'envoi d'une copie complète, à : - M. J.________,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