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746 vom 9. Oktober 2015</w:t>
      </w:r>
    </w:p>
    <w:p>
      <w:r>
        <w:t>VD Tribunal cantonal, 2015-10-09, FR</w:t>
      </w:r>
    </w:p>
    <w:p>
      <w:r>
        <w:rPr>
          <w:b/>
        </w:rPr>
        <w:t xml:space="preserve">Quelle: </w:t>
      </w:r>
      <w:r>
        <w:t>https://mcp.opencaselaw.ch/entscheid/vd_findinfo_D_cision___2015___746</w:t>
      </w:r>
    </w:p>
    <w:p>
      <w:r>
        <w:t>FR: VD_FINDINFO Décision / 2015 / 746 du 9 octobre 2015</w:t>
      </w:r>
    </w:p>
    <w:p>
      <w:r>
        <w:t>IT: VD_FINDINFO Décision / 2015 / 746 del 9 ottobre 2015</w:t>
      </w:r>
    </w:p>
    <w:p>
      <w:pPr>
        <w:pStyle w:val="Heading2"/>
      </w:pPr>
      <w:r>
        <w:t>Regeste</w:t>
      </w:r>
    </w:p>
    <w:p>
      <w:r>
        <w:t>ORDONNANCE DE SÉQUESTRE, ESCROQUERIE, PROPORTIONNALITÉ, ASTUCE, TROMPERIE | 180 CP, 263 CPP (CH)</w:t>
      </w:r>
    </w:p>
    <w:p>
      <w:pPr>
        <w:pStyle w:val="Heading2"/>
      </w:pPr>
      <w:r>
        <w:t>Erwägungen</w:t>
      </w:r>
    </w:p>
    <w:p>
      <w:r>
        <w:rPr>
          <w:b/>
        </w:rPr>
        <w:t>E. 1</w:t>
      </w:r>
    </w:p>
    <w:p>
      <w:r>
        <w:t>Le recours a été interjeté en temps utile (art. 396 al. 1 CPP) contre une décision du Ministère public refusant de lever un séquestre (art. 263 et 393 al. 1, let. a CPP ; Bommer/ Goldschmid, in : Niggli/Heer/Wiprächtiger [éd.], Basler Kommentar, Schweizerische Strafprozessordnung, Jugendstrafprozessordnung, Bâle 2011, n. 66 ad art. 263 CPP ; CREP 19 janvier 2015/34), par l'ayant droit du bien objet du séquestre, qui a qualité pour recourir (art. 382 al. 1 CPP), et dans les formes prescrites (art. 385 al. 1 CPP). Il est donc recevable.</w:t>
      </w:r>
    </w:p>
    <w:p>
      <w:r>
        <w:rPr>
          <w:b/>
        </w:rPr>
        <w:t>E. 2</w:t>
      </w:r>
    </w:p>
    <w:p>
      <w:r>
        <w:t>La recourante soutient d’abord qu’il n’existerait pas de soupçons sérieux d’escroquerie à leur encontre et, que de ce fait, le séquestre de ses biens ne se justifierait pas.</w:t>
      </w:r>
    </w:p>
    <w:p>
      <w:r>
        <w:rPr>
          <w:b/>
        </w:rPr>
        <w:t>E. 2.1.1</w:t>
      </w:r>
    </w:p>
    <w:p>
      <w:r>
        <w:t>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 2.1; ATF 137 IV 145 c. 6.4, et les références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 5.3 et les arrêts cités). Pour appliquer cette disposition, il doit notamment exister entre l'infraction et l'obtention des valeurs patrimoniales un lien de causalité tel que la seconde apparaisse comme la conséquence directe et immédiate de la première (ATF 140 IV 57 c. 4.1 ; ATF 129 II 453 c. 4.1).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2.1.2</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serait laissée tromper (ATF 119 IV 28 c. 3c; Dupuis/Geller/Monnier/Moreillon/Piguet/Bettex/Stoll [éd.], Petit commentaire du Code pénal, Bâle 2012, n. 12 ad art. 146 CP).</w:t>
      </w:r>
    </w:p>
    <w:p>
      <w:r>
        <w:rPr>
          <w:b/>
        </w:rPr>
        <w:t>E. 2.1.3</w:t>
      </w:r>
    </w:p>
    <w:p>
      <w:r>
        <w:t>Dans le cas d’espèce, il ressort du dossier que les prévenus ont incité la plaignante à verser la somme de 492'000 fr. afin d’acquérir les vingt-deux baux à loyer concernant des appartements appartenant à la C.________ (P. 4/13) alors qu’ils savaient depuis le mois de juillet 2014 que cette dernière avait résilié tous les baux et que les logements devaient être vidés et nettoyés pour le 31 août 2014 (P. 4/14). Les prévenus allèguent que cet avenant avait pour objectif de régler « la question de l’échec du transfert des baux de la C.________ à E.________ SA ». Cet argument n’est pas convaincant. En effet, l’avenant mentionne uniquement le terme « discussions » avec C.________ et il n’est jamais fait état de la résiliation des baux à loyer par celle-ci (P. 25/2, p. 7). En outre, le soupçon d’une tromperie astucieuse s’est encore renforcé depuis l’ordonnance de séquestre du 7 août 2015, dès lors que les prévenus sont mis en cause par C.________, qui, dans sa plainte du 18 septembre 2015 à l’encontre des recourants (P. 26), confirme qu’il n’y a pas eu de pourparlers entrepris entre Z.________ SA et elle s’agissant d’un éventuel transfert des baux à loyer en cause. Elle reproche encore à la recourante d’avoir sous-loué les appartements sans son consentement (P. 20/2, 21). Force est de constater, qu’à ce stade de la procédure, les soupçons à l’encontre des prévenus sont suffisants.</w:t>
      </w:r>
    </w:p>
    <w:p>
      <w:r>
        <w:rPr>
          <w:b/>
        </w:rPr>
        <w:t>E. 2.2</w:t>
      </w:r>
    </w:p>
    <w:p>
      <w:r>
        <w:t>La recourante soutient ensuite que le principe de proportionnalité aurait été violé dès lors que quatre de ses comptes ont été séquestrés, ce qui la mettrait en difficulté financière.</w:t>
      </w:r>
    </w:p>
    <w:p>
      <w:r>
        <w:rPr>
          <w:b/>
        </w:rPr>
        <w:t>E. 2.2.1</w:t>
      </w:r>
    </w:p>
    <w:p>
      <w:r>
        <w:t>Le séquestre doit se décider en fonction de la nature et de la gravité de l’infraction et doit se limiter à l’essentiel (Moreillon/Parein-Reymond, Code de procédure pénale, Petit commentaire, Bâle 2013, n.</w:t>
      </w:r>
    </w:p>
    <w:p>
      <w:r>
        <w:rPr>
          <w:b/>
        </w:rPr>
        <w:t>E. 2.2.2</w:t>
      </w:r>
    </w:p>
    <w:p>
      <w:r>
        <w:t>En l’espèce, il ressort de la pièce 17 que les montants figurant sur les comptes séquestrés ensuite de l’ordonnance du 7 août 2015, soit un total d’environ 31'371 fr. 80, sont largement inférieurs à la valeur litigieuse de 492'000 francs. On ne saurait dès lors soutenir qu’une telle mesure serait disproportionnée. Le recours doit également être rejeté sur ce point. 3. Sur le vu de ce qui précède, le recours, manifestement mal fondé doit être rejeté sans autres échanges d’écritures (art. 390 al. 2 CPP) et l’ordonnance du 4 septembre 2015 confirmée. Vu le sort de la cause, la demande d’effet suspensif présentée par la recourante dans l’acte du 17 septembre 2015 n’a plus d’objet. Les frais de la procédure de recours, constitués en l’espèce de l’émolument d’arrêt, par 660 fr. (art. 20 al. 1 TFIP [tarif des frais judiciaires de procédure et indemnités en matière pénale du 28 septembre 2010 ; RSV 312.03.1]), seront mis à la charge de la recourante qui succombe (art. 428 al. 1 CPP). Par ces motifs, la Chambre des recours pénale prononce : I. le recours est rejeté. II. L’ordonnance du 4 septembre 2014 est confirmée. III. La requête d’effet suspensif est sans objet. IV. Les frais d’arrêt, par 660 fr. (six cent soixante francs), sont mis à la charge de Z.________ SA. V. Le présent arrêt est exécutoire. Le président :               La greffière : Du Le présent arrêt, dont la rédaction a été approuvée à huis clos, est notifié, par l'envoi d'une copie complète, à : - M. Elie Elkaim, avocat (pour R.________ et N.________), - M. Alan Hughes,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ad art. 263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